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color w:val="1F4E79"/>
          <w:sz w:val="18"/>
        </w:rPr>
        <w:t>PROVENIQ FOUNDATION</w:t>
      </w:r>
    </w:p>
    <w:p>
      <w:pPr>
        <w:pStyle w:val="Title"/>
        <w:jc w:val="center"/>
      </w:pPr>
      <w:r>
        <w:t>PROVENIQ Animal Welfare (PAW) Pact Agreement</w:t>
      </w:r>
    </w:p>
    <w:p>
      <w:pPr>
        <w:spacing w:after="280"/>
        <w:jc w:val="center"/>
      </w:pPr>
      <w:r>
        <w:rPr>
          <w:rFonts w:ascii="Aptos" w:hAnsi="Aptos"/>
          <w:color w:val="464646"/>
          <w:sz w:val="22"/>
        </w:rPr>
        <w:t>Draft for legal review. Establishes the purpose, participation terms, guardrails, and operating expectations for the PAW Pact.</w:t>
      </w:r>
    </w:p>
    <w:tbl>
      <w:tblPr>
        <w:tblW w:type="auto" w:w="0"/>
        <w:jc w:val="center"/>
        <w:tblLayout w:type="fixed"/>
        <w:tblLook w:firstColumn="1" w:firstRow="1" w:lastColumn="0" w:lastRow="0" w:noHBand="0" w:noVBand="1" w:val="04A0"/>
      </w:tblPr>
      <w:tblGrid>
        <w:gridCol w:w="9936"/>
      </w:tblGrid>
      <w:tr>
        <w:tc>
          <w:tcPr>
            <w:tcW w:type="dxa" w:w="8928"/>
            <w:shd w:fill="EAF2F8"/>
            <w:tcMar>
              <w:top w:w="180" w:type="dxa"/>
              <w:start w:w="180" w:type="dxa"/>
              <w:bottom w:w="180" w:type="dxa"/>
              <w:end w:w="180" w:type="dxa"/>
            </w:tcMar>
          </w:tcPr>
          <w:p>
            <w:pPr>
              <w:jc w:val="center"/>
            </w:pPr>
            <w:r>
              <w:rPr>
                <w:b/>
                <w:color w:val="1F4E79"/>
                <w:sz w:val="36"/>
              </w:rPr>
              <w:t>PAW Pact</w:t>
              <w:br/>
            </w:r>
            <w:r>
              <w:rPr>
                <w:b/>
                <w:color w:val="2D2D2D"/>
                <w:sz w:val="26"/>
              </w:rPr>
              <w:t>Many Missions. One Network.</w:t>
              <w:br/>
            </w:r>
            <w:r>
              <w:rPr>
                <w:color w:val="464646"/>
                <w:sz w:val="22"/>
              </w:rPr>
              <w:t>Building the digital roads that connect animal welfare.</w:t>
            </w:r>
          </w:p>
        </w:tc>
      </w:tr>
    </w:tbl>
    <w:p>
      <w:pPr>
        <w:pStyle w:val="SmallGray"/>
        <w:jc w:val="center"/>
      </w:pPr>
      <w:r>
        <w:t>Prepared for website implementation and coalition launch.</w:t>
      </w:r>
    </w:p>
    <w:p>
      <w:r>
        <w:br w:type="page"/>
      </w:r>
    </w:p>
    <w:p>
      <w:pPr>
        <w:pStyle w:val="SmallGray"/>
      </w:pPr>
      <w:r>
        <w:t>Draft status: This document is a working coalition agreement draft for legal and policy review. It is intended to create clear expectations and operational guardrails. It is not a substitute for organization-specific legal advice.</w:t>
      </w:r>
    </w:p>
    <w:p>
      <w:pPr>
        <w:pStyle w:val="Heading1"/>
      </w:pPr>
      <w:r>
        <w:t>1. Purpose</w:t>
      </w:r>
    </w:p>
    <w:p>
      <w:r>
        <w:t>The PROVENIQ Animal Welfare (PAW) Pact is a voluntary coordination framework created to help independent animal welfare organizations, agencies, clinics, and related partners collaborate through shared digital infrastructure, shared operating norms, and shared commitments to lawful, humane, and accountable action.</w:t>
      </w:r>
    </w:p>
    <w:p>
      <w:r>
        <w:t>The pact exists to improve coordination, reduce harmful fragmentation, strengthen referrals and handoffs, support better outcomes for animals and communities, and preserve local identity while enabling networked participation.</w:t>
      </w:r>
    </w:p>
    <w:p>
      <w:pPr>
        <w:pStyle w:val="Heading1"/>
      </w:pPr>
      <w:r>
        <w:t>2. Nature of the pact</w:t>
      </w:r>
    </w:p>
    <w:p>
      <w:pPr>
        <w:pStyle w:val="ListBullet"/>
        <w:spacing w:after="60"/>
      </w:pPr>
      <w:r>
        <w:t>The pact is voluntary.</w:t>
      </w:r>
    </w:p>
    <w:p>
      <w:pPr>
        <w:pStyle w:val="ListBullet"/>
        <w:spacing w:after="60"/>
      </w:pPr>
      <w:r>
        <w:t>The pact is not a merger, acquisition, consolidation, or transfer of ownership.</w:t>
      </w:r>
    </w:p>
    <w:p>
      <w:pPr>
        <w:pStyle w:val="ListBullet"/>
        <w:spacing w:after="60"/>
      </w:pPr>
      <w:r>
        <w:t>The pact does not create a joint venture, partnership in the legal sense, fiduciary relationship, franchise, or agency relationship unless separately stated in a written agreement.</w:t>
      </w:r>
    </w:p>
    <w:p>
      <w:pPr>
        <w:pStyle w:val="ListBullet"/>
        <w:spacing w:after="60"/>
      </w:pPr>
      <w:r>
        <w:t>Each participating organization remains solely responsible for its own governance, employment, finances, fundraising, case decisions, legal compliance, and operations.</w:t>
      </w:r>
    </w:p>
    <w:p>
      <w:pPr>
        <w:pStyle w:val="ListBullet"/>
        <w:spacing w:after="60"/>
      </w:pPr>
      <w:r>
        <w:t>Participation may include access to shared coordination tools, common frameworks, coalition opportunities, and network-facing initiatives as defined by PROVENIQ Foundation.</w:t>
      </w:r>
    </w:p>
    <w:p>
      <w:pPr>
        <w:pStyle w:val="Heading1"/>
      </w:pPr>
      <w:r>
        <w:t>3. Parties eligible to participate</w:t>
      </w:r>
    </w:p>
    <w:p>
      <w:r>
        <w:t>Subject to review and approval by PROVENIQ Foundation, eligible participants may include shelters, rescues, foster-based organizations, veterinary clinics, animal control agencies, municipal partners, emergency responders, welfare-adjacent nonprofits, and other mission-aligned organizations or programs.</w:t>
      </w:r>
    </w:p>
    <w:p>
      <w:r>
        <w:t>Individual volunteers or informal community groups may be permitted in limited or pilot capacities under a separate participation category and subject to additional controls.</w:t>
      </w:r>
    </w:p>
    <w:p>
      <w:pPr>
        <w:pStyle w:val="Heading1"/>
      </w:pPr>
      <w:r>
        <w:t>4. Shared commitments</w:t>
      </w:r>
    </w:p>
    <w:p>
      <w:pPr>
        <w:pStyle w:val="ListNumber"/>
        <w:spacing w:after="60"/>
      </w:pPr>
      <w:r>
        <w:t>Act in good faith toward animals, partner organizations, and the public.</w:t>
      </w:r>
    </w:p>
    <w:p>
      <w:pPr>
        <w:pStyle w:val="ListNumber"/>
        <w:spacing w:after="60"/>
      </w:pPr>
      <w:r>
        <w:t>Use the network in a lawful, humane, and accountable manner.</w:t>
      </w:r>
    </w:p>
    <w:p>
      <w:pPr>
        <w:pStyle w:val="ListNumber"/>
        <w:spacing w:after="60"/>
      </w:pPr>
      <w:r>
        <w:t>Avoid knowingly submitting false, misleading, abusive, retaliatory, or bad-faith information through shared systems.</w:t>
      </w:r>
    </w:p>
    <w:p>
      <w:pPr>
        <w:pStyle w:val="ListNumber"/>
        <w:spacing w:after="60"/>
      </w:pPr>
      <w:r>
        <w:t>Respect confidentiality, privacy, and data handling requirements applicable to the participant’s role and the information involved.</w:t>
      </w:r>
    </w:p>
    <w:p>
      <w:pPr>
        <w:pStyle w:val="ListNumber"/>
        <w:spacing w:after="60"/>
      </w:pPr>
      <w:r>
        <w:t>Support orderly referrals, handoffs, and coordination where participation requires them.</w:t>
      </w:r>
    </w:p>
    <w:p>
      <w:pPr>
        <w:pStyle w:val="ListNumber"/>
        <w:spacing w:after="60"/>
      </w:pPr>
      <w:r>
        <w:t>Refrain from conduct that would materially undermine network trust, public safety, or animal welfare outcomes.</w:t>
      </w:r>
    </w:p>
    <w:p>
      <w:pPr>
        <w:pStyle w:val="ListNumber"/>
        <w:spacing w:after="60"/>
      </w:pPr>
      <w:r>
        <w:t>Comply with all applicable laws, regulations, permits, reporting duties, and organizational obligations.</w:t>
      </w:r>
    </w:p>
    <w:p>
      <w:pPr>
        <w:pStyle w:val="Heading1"/>
      </w:pPr>
      <w:r>
        <w:t>5. Guardrails and reserved authority</w:t>
      </w:r>
    </w:p>
    <w:p>
      <w:pPr>
        <w:pStyle w:val="ListBullet"/>
        <w:spacing w:after="60"/>
      </w:pPr>
      <w:r>
        <w:t>PROVENIQ Foundation may approve, deny, condition, suspend, or terminate participation in its discretion where needed to protect animals, users, communities, network integrity, legal compliance, or mission alignment.</w:t>
      </w:r>
    </w:p>
    <w:p>
      <w:pPr>
        <w:pStyle w:val="ListBullet"/>
        <w:spacing w:after="60"/>
      </w:pPr>
      <w:r>
        <w:t>PROVENIQ Foundation may require additional documentation, representations, training, acknowledgments, or policy acceptance before granting or maintaining access to specific systems, workflows, or network privileges.</w:t>
      </w:r>
    </w:p>
    <w:p>
      <w:pPr>
        <w:pStyle w:val="ListBullet"/>
        <w:spacing w:after="60"/>
      </w:pPr>
      <w:r>
        <w:t>Participation may be limited by role, geography, workflow, technical readiness, compliance status, or program phase.</w:t>
      </w:r>
    </w:p>
    <w:p>
      <w:pPr>
        <w:pStyle w:val="ListBullet"/>
        <w:spacing w:after="60"/>
      </w:pPr>
      <w:r>
        <w:t>The Foundation may impose temporary or permanent restrictions where there is credible evidence of abuse, misrepresentation, diversion of resources, unsafe practices, data misuse, harassment, fraud, retaliation, or conduct likely to damage the network or public trust.</w:t>
      </w:r>
    </w:p>
    <w:p>
      <w:pPr>
        <w:pStyle w:val="ListBullet"/>
        <w:spacing w:after="60"/>
      </w:pPr>
      <w:r>
        <w:t>Nothing in the pact requires PROVENIQ Foundation to onboard every applicant or continue participation indefinitely.</w:t>
      </w:r>
    </w:p>
    <w:p>
      <w:pPr>
        <w:pStyle w:val="Heading1"/>
      </w:pPr>
      <w:r>
        <w:t>6. Data, systems, and use of shared infrastructure</w:t>
      </w:r>
    </w:p>
    <w:p>
      <w:r>
        <w:t>Where participants use shared systems, including components of the PROVENIQ System, they may do so only in accordance with the Foundation’s published rules, user roles, privacy expectations, technical standards, and any workflow-specific conditions.</w:t>
      </w:r>
    </w:p>
    <w:p>
      <w:pPr>
        <w:pStyle w:val="ListBullet"/>
        <w:spacing w:after="60"/>
      </w:pPr>
      <w:r>
        <w:t>System access may be role-based and limited to the minimum necessary scope.</w:t>
      </w:r>
    </w:p>
    <w:p>
      <w:pPr>
        <w:pStyle w:val="ListBullet"/>
        <w:spacing w:after="60"/>
      </w:pPr>
      <w:r>
        <w:t>Access to one workflow or application does not imply access to all programs, data, or organizations.</w:t>
      </w:r>
    </w:p>
    <w:p>
      <w:pPr>
        <w:pStyle w:val="ListBullet"/>
        <w:spacing w:after="60"/>
      </w:pPr>
      <w:r>
        <w:t>Shared infrastructure is provided to improve coordination, not to create unrestricted cross-organizational visibility.</w:t>
      </w:r>
    </w:p>
    <w:p>
      <w:pPr>
        <w:pStyle w:val="ListBullet"/>
        <w:spacing w:after="60"/>
      </w:pPr>
      <w:r>
        <w:t>Participants may not scrape, export, repurpose, sell, or misuse shared data except as expressly allowed.</w:t>
      </w:r>
    </w:p>
    <w:p>
      <w:pPr>
        <w:pStyle w:val="ListBullet"/>
        <w:spacing w:after="60"/>
      </w:pPr>
      <w:r>
        <w:t>The Foundation may log, audit, review, and restrict system activity to preserve safety, compliance, and accountability.</w:t>
      </w:r>
    </w:p>
    <w:p>
      <w:pPr>
        <w:pStyle w:val="Heading1"/>
      </w:pPr>
      <w:r>
        <w:t>7. Branding and public representation</w:t>
      </w:r>
    </w:p>
    <w:p>
      <w:pPr>
        <w:pStyle w:val="ListBullet"/>
        <w:spacing w:after="60"/>
      </w:pPr>
      <w:r>
        <w:t>Participants may not present themselves as the owner of the pact, the Foundation, or the PROVENIQ System.</w:t>
      </w:r>
    </w:p>
    <w:p>
      <w:pPr>
        <w:pStyle w:val="ListBullet"/>
        <w:spacing w:after="60"/>
      </w:pPr>
      <w:r>
        <w:t>Participation does not authorize false claims of endorsement, certification, exclusivity, or legal authority beyond what the Foundation expressly states in writing.</w:t>
      </w:r>
    </w:p>
    <w:p>
      <w:pPr>
        <w:pStyle w:val="ListBullet"/>
        <w:spacing w:after="60"/>
      </w:pPr>
      <w:r>
        <w:t>Use of the PAW Pact name, marks, logos, or public-facing membership language may be conditioned, limited, suspended, or revoked.</w:t>
      </w:r>
    </w:p>
    <w:p>
      <w:pPr>
        <w:pStyle w:val="ListBullet"/>
        <w:spacing w:after="60"/>
      </w:pPr>
      <w:r>
        <w:t>The Foundation may define categories such as exploratory participant, pilot participant, member organization, or founding organization and may control how such designations are displayed.</w:t>
      </w:r>
    </w:p>
    <w:p>
      <w:pPr>
        <w:pStyle w:val="Heading1"/>
      </w:pPr>
      <w:r>
        <w:t>8. No override of law or local duty</w:t>
      </w:r>
    </w:p>
    <w:p>
      <w:r>
        <w:t>Nothing in this agreement authorizes a participant to ignore law, exceed legal authority, conceal cruelty, bypass due process, interfere with regulated duties, or act outside the lawful scope of its own role. Where legal duties conflict with informal expectations, the law and applicable formal obligations control.</w:t>
      </w:r>
    </w:p>
    <w:p>
      <w:pPr>
        <w:pStyle w:val="Heading1"/>
      </w:pPr>
      <w:r>
        <w:t>9. Confidentiality and sensitive information</w:t>
      </w:r>
    </w:p>
    <w:p>
      <w:r>
        <w:t>Participants must handle sensitive, personal, investigative, clinical, or security-related information with appropriate care and in accordance with applicable law, contract, policy, and role-based permissions. Additional confidentiality or data processing terms may be required for certain workflows or categories of participants.</w:t>
      </w:r>
    </w:p>
    <w:p>
      <w:pPr>
        <w:pStyle w:val="Heading1"/>
      </w:pPr>
      <w:r>
        <w:t>10. Referrals, handoffs, and independence of judgment</w:t>
      </w:r>
    </w:p>
    <w:p>
      <w:r>
        <w:t>The pact may facilitate referrals, handoffs, and coordination opportunities, but each participant remains responsible for its own intake decisions, case acceptance, clinical judgment, enforcement judgment, transport choices, placements, and resource commitments unless a separate written agreement states otherwise.</w:t>
      </w:r>
    </w:p>
    <w:p>
      <w:pPr>
        <w:pStyle w:val="Heading1"/>
      </w:pPr>
      <w:r>
        <w:t>11. Term, withdrawal, suspension, and removal</w:t>
      </w:r>
    </w:p>
    <w:p>
      <w:pPr>
        <w:pStyle w:val="ListBullet"/>
        <w:spacing w:after="60"/>
      </w:pPr>
      <w:r>
        <w:t>Participation begins only after approval by PROVENIQ Foundation and any required acknowledgments, onboarding steps, or technical setup are completed.</w:t>
      </w:r>
    </w:p>
    <w:p>
      <w:pPr>
        <w:pStyle w:val="ListBullet"/>
        <w:spacing w:after="60"/>
      </w:pPr>
      <w:r>
        <w:t>A participant may withdraw by written notice, subject to any obligations that survive by their nature.</w:t>
      </w:r>
    </w:p>
    <w:p>
      <w:pPr>
        <w:pStyle w:val="ListBullet"/>
        <w:spacing w:after="60"/>
      </w:pPr>
      <w:r>
        <w:t>The Foundation may suspend or terminate participation immediately or prospectively where it deems such action necessary under the guardrails of this agreement.</w:t>
      </w:r>
    </w:p>
    <w:p>
      <w:pPr>
        <w:pStyle w:val="ListBullet"/>
        <w:spacing w:after="60"/>
      </w:pPr>
      <w:r>
        <w:t>Suspension or termination may include removal of logos, access, listings, workflows, permissions, or coalition-facing representations.</w:t>
      </w:r>
    </w:p>
    <w:p>
      <w:pPr>
        <w:pStyle w:val="Heading1"/>
      </w:pPr>
      <w:r>
        <w:t>12. Amendment and future policies</w:t>
      </w:r>
    </w:p>
    <w:p>
      <w:r>
        <w:t>PROVENIQ Foundation may update pact policies, operational standards, participation rules, and supporting documents over time. Material changes may require renewed acknowledgment or additional onboarding steps. Continued participation following notice of an updated standard may constitute acceptance to the extent permitted by law and policy.</w:t>
      </w:r>
    </w:p>
    <w:p>
      <w:pPr>
        <w:pStyle w:val="Heading1"/>
      </w:pPr>
      <w:r>
        <w:t>13. Suggested signature block</w:t>
      </w:r>
    </w:p>
    <w:tbl>
      <w:tblPr>
        <w:tblStyle w:val="TableGrid"/>
        <w:tblW w:type="auto" w:w="0"/>
        <w:jc w:val="center"/>
        <w:tblLayout w:type="fixed"/>
        <w:tblLook w:firstColumn="1" w:firstRow="1" w:lastColumn="0" w:lastRow="0" w:noHBand="0" w:noVBand="1" w:val="04A0"/>
      </w:tblPr>
      <w:tblGrid>
        <w:gridCol w:w="4968"/>
        <w:gridCol w:w="4968"/>
      </w:tblGrid>
      <w:tr>
        <w:trPr>
          <w:tblHeader w:val="true"/>
        </w:trPr>
        <w:tc>
          <w:tcPr>
            <w:tcW w:type="dxa" w:w="2880"/>
            <w:vAlign w:val="center"/>
            <w:tcMar>
              <w:top w:w="90" w:type="dxa"/>
              <w:start w:w="110" w:type="dxa"/>
              <w:bottom w:w="90" w:type="dxa"/>
              <w:end w:w="110" w:type="dxa"/>
            </w:tcMar>
            <w:shd w:fill="E6EEF6"/>
          </w:tcPr>
          <w:p>
            <w:pPr>
              <w:spacing w:after="0"/>
            </w:pPr>
            <w:r>
              <w:rPr>
                <w:b/>
              </w:rPr>
              <w:t>Field</w:t>
            </w:r>
          </w:p>
        </w:tc>
        <w:tc>
          <w:tcPr>
            <w:tcW w:type="dxa" w:w="6048"/>
            <w:vAlign w:val="center"/>
            <w:tcMar>
              <w:top w:w="90" w:type="dxa"/>
              <w:start w:w="110" w:type="dxa"/>
              <w:bottom w:w="90" w:type="dxa"/>
              <w:end w:w="110" w:type="dxa"/>
            </w:tcMar>
            <w:shd w:fill="E6EEF6"/>
          </w:tcPr>
          <w:p>
            <w:pPr>
              <w:spacing w:after="0"/>
            </w:pPr>
            <w:r>
              <w:rPr>
                <w:b/>
              </w:rPr>
              <w:t>Entry</w:t>
            </w:r>
          </w:p>
        </w:tc>
      </w:tr>
      <w:tr>
        <w:tc>
          <w:tcPr>
            <w:tcW w:type="dxa" w:w="2880"/>
            <w:vAlign w:val="center"/>
            <w:tcMar>
              <w:top w:w="90" w:type="dxa"/>
              <w:start w:w="110" w:type="dxa"/>
              <w:bottom w:w="90" w:type="dxa"/>
              <w:end w:w="110" w:type="dxa"/>
            </w:tcMar>
          </w:tcPr>
          <w:p>
            <w:pPr>
              <w:spacing w:after="0"/>
            </w:pPr>
            <w:r>
              <w:t>Organization name</w:t>
            </w:r>
          </w:p>
        </w:tc>
        <w:tc>
          <w:tcPr>
            <w:tcW w:type="dxa" w:w="6048"/>
            <w:vAlign w:val="center"/>
            <w:tcMar>
              <w:top w:w="90" w:type="dxa"/>
              <w:start w:w="110" w:type="dxa"/>
              <w:bottom w:w="90" w:type="dxa"/>
              <w:end w:w="110" w:type="dxa"/>
            </w:tcMar>
          </w:tcPr>
          <w:p>
            <w:pPr>
              <w:spacing w:after="0"/>
            </w:pPr>
            <w:r/>
          </w:p>
        </w:tc>
      </w:tr>
      <w:tr>
        <w:tc>
          <w:tcPr>
            <w:tcW w:type="dxa" w:w="2880"/>
            <w:vAlign w:val="center"/>
            <w:tcMar>
              <w:top w:w="90" w:type="dxa"/>
              <w:start w:w="110" w:type="dxa"/>
              <w:bottom w:w="90" w:type="dxa"/>
              <w:end w:w="110" w:type="dxa"/>
            </w:tcMar>
          </w:tcPr>
          <w:p>
            <w:pPr>
              <w:spacing w:after="0"/>
            </w:pPr>
            <w:r>
              <w:t>Authorized representative</w:t>
            </w:r>
          </w:p>
        </w:tc>
        <w:tc>
          <w:tcPr>
            <w:tcW w:type="dxa" w:w="6048"/>
            <w:vAlign w:val="center"/>
            <w:tcMar>
              <w:top w:w="90" w:type="dxa"/>
              <w:start w:w="110" w:type="dxa"/>
              <w:bottom w:w="90" w:type="dxa"/>
              <w:end w:w="110" w:type="dxa"/>
            </w:tcMar>
          </w:tcPr>
          <w:p>
            <w:pPr>
              <w:spacing w:after="0"/>
            </w:pPr>
            <w:r/>
          </w:p>
        </w:tc>
      </w:tr>
      <w:tr>
        <w:tc>
          <w:tcPr>
            <w:tcW w:type="dxa" w:w="2880"/>
            <w:vAlign w:val="center"/>
            <w:tcMar>
              <w:top w:w="90" w:type="dxa"/>
              <w:start w:w="110" w:type="dxa"/>
              <w:bottom w:w="90" w:type="dxa"/>
              <w:end w:w="110" w:type="dxa"/>
            </w:tcMar>
          </w:tcPr>
          <w:p>
            <w:pPr>
              <w:spacing w:after="0"/>
            </w:pPr>
            <w:r>
              <w:t>Title</w:t>
            </w:r>
          </w:p>
        </w:tc>
        <w:tc>
          <w:tcPr>
            <w:tcW w:type="dxa" w:w="6048"/>
            <w:vAlign w:val="center"/>
            <w:tcMar>
              <w:top w:w="90" w:type="dxa"/>
              <w:start w:w="110" w:type="dxa"/>
              <w:bottom w:w="90" w:type="dxa"/>
              <w:end w:w="110" w:type="dxa"/>
            </w:tcMar>
          </w:tcPr>
          <w:p>
            <w:pPr>
              <w:spacing w:after="0"/>
            </w:pPr>
            <w:r/>
          </w:p>
        </w:tc>
      </w:tr>
      <w:tr>
        <w:tc>
          <w:tcPr>
            <w:tcW w:type="dxa" w:w="2880"/>
            <w:vAlign w:val="center"/>
            <w:tcMar>
              <w:top w:w="90" w:type="dxa"/>
              <w:start w:w="110" w:type="dxa"/>
              <w:bottom w:w="90" w:type="dxa"/>
              <w:end w:w="110" w:type="dxa"/>
            </w:tcMar>
          </w:tcPr>
          <w:p>
            <w:pPr>
              <w:spacing w:after="0"/>
            </w:pPr>
            <w:r>
              <w:t>Email</w:t>
            </w:r>
          </w:p>
        </w:tc>
        <w:tc>
          <w:tcPr>
            <w:tcW w:type="dxa" w:w="6048"/>
            <w:vAlign w:val="center"/>
            <w:tcMar>
              <w:top w:w="90" w:type="dxa"/>
              <w:start w:w="110" w:type="dxa"/>
              <w:bottom w:w="90" w:type="dxa"/>
              <w:end w:w="110" w:type="dxa"/>
            </w:tcMar>
          </w:tcPr>
          <w:p>
            <w:pPr>
              <w:spacing w:after="0"/>
            </w:pPr>
            <w:r/>
          </w:p>
        </w:tc>
      </w:tr>
      <w:tr>
        <w:tc>
          <w:tcPr>
            <w:tcW w:type="dxa" w:w="2880"/>
            <w:vAlign w:val="center"/>
            <w:tcMar>
              <w:top w:w="90" w:type="dxa"/>
              <w:start w:w="110" w:type="dxa"/>
              <w:bottom w:w="90" w:type="dxa"/>
              <w:end w:w="110" w:type="dxa"/>
            </w:tcMar>
          </w:tcPr>
          <w:p>
            <w:pPr>
              <w:spacing w:after="0"/>
            </w:pPr>
            <w:r>
              <w:t>Phone</w:t>
            </w:r>
          </w:p>
        </w:tc>
        <w:tc>
          <w:tcPr>
            <w:tcW w:type="dxa" w:w="6048"/>
            <w:vAlign w:val="center"/>
            <w:tcMar>
              <w:top w:w="90" w:type="dxa"/>
              <w:start w:w="110" w:type="dxa"/>
              <w:bottom w:w="90" w:type="dxa"/>
              <w:end w:w="110" w:type="dxa"/>
            </w:tcMar>
          </w:tcPr>
          <w:p>
            <w:pPr>
              <w:spacing w:after="0"/>
            </w:pPr>
            <w:r/>
          </w:p>
        </w:tc>
      </w:tr>
      <w:tr>
        <w:tc>
          <w:tcPr>
            <w:tcW w:type="dxa" w:w="2880"/>
            <w:vAlign w:val="center"/>
            <w:tcMar>
              <w:top w:w="90" w:type="dxa"/>
              <w:start w:w="110" w:type="dxa"/>
              <w:bottom w:w="90" w:type="dxa"/>
              <w:end w:w="110" w:type="dxa"/>
            </w:tcMar>
          </w:tcPr>
          <w:p>
            <w:pPr>
              <w:spacing w:after="0"/>
            </w:pPr>
            <w:r>
              <w:t>Signature</w:t>
            </w:r>
          </w:p>
        </w:tc>
        <w:tc>
          <w:tcPr>
            <w:tcW w:type="dxa" w:w="6048"/>
            <w:vAlign w:val="center"/>
            <w:tcMar>
              <w:top w:w="90" w:type="dxa"/>
              <w:start w:w="110" w:type="dxa"/>
              <w:bottom w:w="90" w:type="dxa"/>
              <w:end w:w="110" w:type="dxa"/>
            </w:tcMar>
          </w:tcPr>
          <w:p>
            <w:pPr>
              <w:spacing w:after="0"/>
            </w:pPr>
            <w:r/>
          </w:p>
        </w:tc>
      </w:tr>
      <w:tr>
        <w:tc>
          <w:tcPr>
            <w:tcW w:type="dxa" w:w="2880"/>
            <w:vAlign w:val="center"/>
            <w:tcMar>
              <w:top w:w="90" w:type="dxa"/>
              <w:start w:w="110" w:type="dxa"/>
              <w:bottom w:w="90" w:type="dxa"/>
              <w:end w:w="110" w:type="dxa"/>
            </w:tcMar>
          </w:tcPr>
          <w:p>
            <w:pPr>
              <w:spacing w:after="0"/>
            </w:pPr>
            <w:r>
              <w:t>Date</w:t>
            </w:r>
          </w:p>
        </w:tc>
        <w:tc>
          <w:tcPr>
            <w:tcW w:type="dxa" w:w="6048"/>
            <w:vAlign w:val="center"/>
            <w:tcMar>
              <w:top w:w="90" w:type="dxa"/>
              <w:start w:w="110" w:type="dxa"/>
              <w:bottom w:w="90" w:type="dxa"/>
              <w:end w:w="110" w:type="dxa"/>
            </w:tcMar>
          </w:tcPr>
          <w:p>
            <w:pPr>
              <w:spacing w:after="0"/>
            </w:pPr>
            <w:r/>
          </w:p>
        </w:tc>
      </w:tr>
    </w:tbl>
    <w:p/>
    <w:p>
      <w:pPr>
        <w:pStyle w:val="Heading1"/>
      </w:pPr>
      <w:r>
        <w:t>14. Internal review notes</w:t>
      </w:r>
    </w:p>
    <w:p>
      <w:pPr>
        <w:pStyle w:val="ListBullet"/>
        <w:spacing w:after="60"/>
      </w:pPr>
      <w:r>
        <w:t>Legal counsel should confirm the non-partnership, non-agency, and no-transfer language for West Virginia and multi-state use.</w:t>
      </w:r>
    </w:p>
    <w:p>
      <w:pPr>
        <w:pStyle w:val="ListBullet"/>
        <w:spacing w:after="60"/>
      </w:pPr>
      <w:r>
        <w:t>Counsel should determine whether separate data-use, confidentiality, or platform terms should be incorporated by reference or executed as companion documents.</w:t>
      </w:r>
    </w:p>
    <w:p>
      <w:pPr>
        <w:pStyle w:val="ListBullet"/>
        <w:spacing w:after="60"/>
      </w:pPr>
      <w:r>
        <w:t>Counsel should review suspension/removal discretion, branding restrictions, and any due-process language desired for member disputes.</w:t>
      </w:r>
    </w:p>
    <w:p>
      <w:pPr>
        <w:pStyle w:val="ListBullet"/>
        <w:spacing w:after="60"/>
      </w:pPr>
      <w:r>
        <w:t>Future versions may add role-specific appendices for shelters, rescues, clinics, municipal partners, and animal control agencies.</w:t>
      </w:r>
    </w:p>
    <w:sectPr w:rsidR="00FC693F" w:rsidRPr="0006063C" w:rsidSect="00034616">
      <w:footerReference w:type="default" r:id="rId9"/>
      <w:pgSz w:w="12240" w:h="15840"/>
      <w:pgMar w:top="1008"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6E6E6E"/>
        <w:sz w:val="16"/>
      </w:rPr>
      <w:t>PAW Pact Agreement Legal Review Draft | PROVENIQ Foundation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2F2F2F"/>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Gray">
    <w:name w:val="Small Gray"/>
    <w:pPr>
      <w:spacing w:after="120"/>
    </w:pPr>
    <w:rPr>
      <w:rFonts w:ascii="Aptos" w:hAnsi="Aptos"/>
      <w:color w:val="5A5A5A"/>
      <w:sz w:val="18"/>
    </w:rPr>
  </w:style>
  <w:style w:type="paragraph" w:customStyle="1" w:styleId="Callout">
    <w:name w:val="Callout"/>
    <w:pPr>
      <w:spacing w:after="120"/>
    </w:pPr>
    <w:rPr>
      <w:rFonts w:ascii="Aptos" w:hAnsi="Aptos"/>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