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pPr>
      <w:r>
        <w:rPr>
          <w:rFonts w:ascii="Arial" w:cs="Arial" w:eastAsia="Arial" w:hAnsi="Arial"/>
          <w:b/>
          <w:bCs/>
          <w:caps/>
          <w:color w:val="666666"/>
          <w:sz w:val="20"/>
          <w:szCs w:val="20"/>
        </w:rPr>
        <w:t xml:space="preserve">PROVENIQ FOUNDATION</w:t>
      </w:r>
    </w:p>
    <w:p>
      <w:pPr>
        <w:spacing w:before="0" w:after="120"/>
      </w:pPr>
      <w:r>
        <w:rPr>
          <w:rFonts w:ascii="Arial" w:cs="Arial" w:eastAsia="Arial" w:hAnsi="Arial"/>
          <w:b/>
          <w:bCs/>
          <w:color w:val="1A3A5C"/>
          <w:sz w:val="36"/>
          <w:szCs w:val="36"/>
        </w:rPr>
        <w:t xml:space="preserve">PROVENIQ Animal Welfare (PAW) Pact Agreement</w:t>
      </w:r>
    </w:p>
    <w:p>
      <w:pPr>
        <w:spacing w:before="0" w:after="60"/>
      </w:pPr>
      <w:r>
        <w:rPr>
          <w:rFonts w:ascii="Arial" w:cs="Arial" w:eastAsia="Arial" w:hAnsi="Arial"/>
          <w:b/>
          <w:bCs/>
          <w:i/>
          <w:iCs/>
          <w:color w:val="2E6DA4"/>
          <w:sz w:val="24"/>
          <w:szCs w:val="24"/>
        </w:rPr>
        <w:t xml:space="preserve">Many Missions. One Network.</w:t>
      </w:r>
    </w:p>
    <w:p>
      <w:pPr>
        <w:spacing w:before="0" w:after="240"/>
      </w:pPr>
      <w:r>
        <w:rPr>
          <w:rFonts w:ascii="Arial" w:cs="Arial" w:eastAsia="Arial" w:hAnsi="Arial"/>
          <w:i/>
          <w:iCs/>
          <w:color w:val="666666"/>
          <w:sz w:val="20"/>
          <w:szCs w:val="20"/>
        </w:rPr>
        <w:t xml:space="preserve">Building the digital roads that connect animal welfare.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6E8F7" w:val="clear"/>
            <w:tcMar>
              <w:top w:type="dxa" w:w="80"/>
              <w:left w:type="dxa" w:w="120"/>
              <w:bottom w:type="dxa" w:w="80"/>
              <w:right w:type="dxa" w:w="120"/>
            </w:tcMar>
          </w:tcPr>
          <w:p>
            <w:r>
              <w:rPr>
                <w:rFonts w:ascii="Arial" w:cs="Arial" w:eastAsia="Arial" w:hAnsi="Arial"/>
                <w:b/>
                <w:bCs/>
                <w:color w:val="1A3A5C"/>
                <w:sz w:val="18"/>
                <w:szCs w:val="18"/>
              </w:rPr>
              <w:t xml:space="preserve">Document Status</w:t>
            </w:r>
          </w:p>
          <w:p>
            <w:r>
              <w:rPr>
                <w:rFonts w:ascii="Arial" w:cs="Arial" w:eastAsia="Arial" w:hAnsi="Arial"/>
                <w:b/>
                <w:bCs/>
                <w:color w:val="C0392B"/>
                <w:sz w:val="18"/>
                <w:szCs w:val="18"/>
              </w:rPr>
              <w:t xml:space="preserve">MASTER CONSOLIDATED DRAFT — For Legal Review</w:t>
            </w:r>
          </w:p>
        </w:tc>
        <w:tc>
          <w:tcPr>
            <w:tcW w:type="dxa" w:w="4680"/>
            <w:tcBorders>
              <w:top w:val="single" w:color="CCCCCC" w:sz="1"/>
              <w:left w:val="single" w:color="CCCCCC" w:sz="1"/>
              <w:bottom w:val="single" w:color="CCCCCC" w:sz="1"/>
              <w:right w:val="single" w:color="CCCCCC" w:sz="1"/>
            </w:tcBorders>
            <w:shd w:fill="D6E8F7" w:val="clear"/>
            <w:tcMar>
              <w:top w:type="dxa" w:w="80"/>
              <w:left w:type="dxa" w:w="120"/>
              <w:bottom w:type="dxa" w:w="80"/>
              <w:right w:type="dxa" w:w="120"/>
            </w:tcMar>
          </w:tcPr>
          <w:p>
            <w:r>
              <w:rPr>
                <w:rFonts w:ascii="Arial" w:cs="Arial" w:eastAsia="Arial" w:hAnsi="Arial"/>
                <w:b/>
                <w:bCs/>
                <w:color w:val="1A3A5C"/>
                <w:sz w:val="18"/>
                <w:szCs w:val="18"/>
              </w:rPr>
              <w:t xml:space="preserve">Version</w:t>
            </w:r>
          </w:p>
          <w:p>
            <w:r>
              <w:rPr>
                <w:rFonts w:ascii="Arial" w:cs="Arial" w:eastAsia="Arial" w:hAnsi="Arial"/>
                <w:color w:val="333333"/>
                <w:sz w:val="18"/>
                <w:szCs w:val="18"/>
              </w:rPr>
              <w:t xml:space="preserve">v2.0-CONSOLIDATED (March 2026)</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3A5C"/>
                <w:sz w:val="18"/>
                <w:szCs w:val="18"/>
              </w:rPr>
              <w:t xml:space="preserve">Prepared by</w:t>
            </w:r>
          </w:p>
          <w:p>
            <w:r>
              <w:rPr>
                <w:rFonts w:ascii="Arial" w:cs="Arial" w:eastAsia="Arial" w:hAnsi="Arial"/>
                <w:color w:val="333333"/>
                <w:sz w:val="18"/>
                <w:szCs w:val="18"/>
              </w:rPr>
              <w:t xml:space="preserve">PROVENIQ Foundation, Greenbrier County WV</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3A5C"/>
                <w:sz w:val="18"/>
                <w:szCs w:val="18"/>
              </w:rPr>
              <w:t xml:space="preserve">Governing Law</w:t>
            </w:r>
          </w:p>
          <w:p>
            <w:r>
              <w:rPr>
                <w:rFonts w:ascii="Arial" w:cs="Arial" w:eastAsia="Arial" w:hAnsi="Arial"/>
                <w:color w:val="333333"/>
                <w:sz w:val="18"/>
                <w:szCs w:val="18"/>
              </w:rPr>
              <w:t xml:space="preserve">State of West Virginia (see Section 17)</w:t>
            </w:r>
          </w:p>
        </w:tc>
      </w:tr>
    </w:tbl>
    <w:p>
      <w:pPr>
        <w:spacing w:before="160" w:after="0"/>
      </w:pPr>
      <w:r>
        <w:t xml:space="preserve"/>
      </w:r>
    </w:p>
    <w:p>
      <w:pPr>
        <w:spacing w:before="0" w:after="120"/>
      </w:pPr>
      <w:r>
        <w:rPr>
          <w:rFonts w:ascii="Arial" w:cs="Arial" w:eastAsia="Arial" w:hAnsi="Arial"/>
          <w:i/>
          <w:iCs/>
          <w:color w:val="666666"/>
          <w:sz w:val="18"/>
          <w:szCs w:val="18"/>
        </w:rPr>
        <w:t xml:space="preserve">This is a consolidated master draft merging and superseding all prior PAW Pact draft versions. It is intended for legal and policy review and is not yet approved for execution or public release. Internal review notes are separated into a companion memo and are not reproduced here.</w:t>
      </w:r>
    </w:p>
    <w:p>
      <w:pPr>
        <w:pBdr>
          <w:bottom w:val="single" w:color="2E6DA4" w:sz="4" w:space="1"/>
        </w:pBdr>
        <w:spacing w:before="160" w:after="160"/>
      </w:pPr>
      <w:r>
        <w:t xml:space="preserve"/>
      </w:r>
    </w:p>
    <w:p>
      <w:pPr>
        <w:pStyle w:val="Heading1"/>
        <w:spacing w:before="320" w:after="160"/>
      </w:pPr>
      <w:r>
        <w:rPr>
          <w:rFonts w:ascii="Arial" w:cs="Arial" w:eastAsia="Arial" w:hAnsi="Arial"/>
          <w:b/>
          <w:bCs/>
          <w:color w:val="1A3A5C"/>
          <w:sz w:val="26"/>
          <w:szCs w:val="26"/>
        </w:rPr>
        <w:t xml:space="preserve">1. Purpose</w:t>
      </w:r>
    </w:p>
    <w:p>
      <w:pPr>
        <w:spacing w:before="80" w:after="100"/>
      </w:pPr>
      <w:r>
        <w:rPr>
          <w:rFonts w:ascii="Arial" w:cs="Arial" w:eastAsia="Arial" w:hAnsi="Arial"/>
          <w:color w:val="333333"/>
          <w:sz w:val="20"/>
          <w:szCs w:val="20"/>
        </w:rPr>
        <w:t xml:space="preserve">The PROVENIQ Animal Welfare (PAW) Pact is a voluntary coordination framework created to help independent animal welfare organizations, public agencies, veterinary clinics, and mission-aligned partners collaborate through shared digital infrastructure, shared operating norms, and shared commitments to lawful, humane, and accountable action.</w:t>
      </w:r>
    </w:p>
    <w:p>
      <w:pPr>
        <w:spacing w:before="80" w:after="100"/>
      </w:pPr>
      <w:r>
        <w:rPr>
          <w:rFonts w:ascii="Arial" w:cs="Arial" w:eastAsia="Arial" w:hAnsi="Arial"/>
          <w:color w:val="333333"/>
          <w:sz w:val="20"/>
          <w:szCs w:val="20"/>
        </w:rPr>
        <w:t xml:space="preserve">The Pact exists to improve coordination, reduce harmful fragmentation, strengthen referrals and handoffs, support better outcomes for animals and communities, and preserve local identity while enabling networked participation.</w:t>
      </w:r>
    </w:p>
    <w:p>
      <w:pPr>
        <w:pBdr>
          <w:bottom w:val="single" w:color="2E6DA4" w:sz="4" w:space="1"/>
        </w:pBdr>
        <w:spacing w:before="160" w:after="160"/>
      </w:pPr>
      <w:r>
        <w:t xml:space="preserve"/>
      </w:r>
    </w:p>
    <w:p>
      <w:pPr>
        <w:pStyle w:val="Heading1"/>
        <w:spacing w:before="320" w:after="160"/>
      </w:pPr>
      <w:r>
        <w:rPr>
          <w:rFonts w:ascii="Arial" w:cs="Arial" w:eastAsia="Arial" w:hAnsi="Arial"/>
          <w:b/>
          <w:bCs/>
          <w:color w:val="1A3A5C"/>
          <w:sz w:val="26"/>
          <w:szCs w:val="26"/>
        </w:rPr>
        <w:t xml:space="preserve">2. Nature of the Pact</w:t>
      </w:r>
    </w:p>
    <w:p>
      <w:pPr>
        <w:pStyle w:val="ListParagraph"/>
        <w:numPr>
          <w:ilvl w:val="0"/>
          <w:numId w:val="2"/>
        </w:numPr>
        <w:spacing w:before="60" w:after="60"/>
      </w:pPr>
      <w:r>
        <w:rPr>
          <w:rFonts w:ascii="Arial" w:cs="Arial" w:eastAsia="Arial" w:hAnsi="Arial"/>
          <w:color w:val="333333"/>
          <w:sz w:val="20"/>
          <w:szCs w:val="20"/>
        </w:rPr>
        <w:t xml:space="preserve">The Pact is voluntary and non-exclusive unless a narrower arrangement is expressly documented in a separate written agreement.</w:t>
      </w:r>
    </w:p>
    <w:p>
      <w:pPr>
        <w:pStyle w:val="ListParagraph"/>
        <w:numPr>
          <w:ilvl w:val="0"/>
          <w:numId w:val="2"/>
        </w:numPr>
        <w:spacing w:before="60" w:after="60"/>
      </w:pPr>
      <w:r>
        <w:rPr>
          <w:rFonts w:ascii="Arial" w:cs="Arial" w:eastAsia="Arial" w:hAnsi="Arial"/>
          <w:color w:val="333333"/>
          <w:sz w:val="20"/>
          <w:szCs w:val="20"/>
        </w:rPr>
        <w:t xml:space="preserve">The Pact is not a merger, acquisition, consolidation, or transfer of ownership.</w:t>
      </w:r>
    </w:p>
    <w:p>
      <w:pPr>
        <w:pStyle w:val="ListParagraph"/>
        <w:numPr>
          <w:ilvl w:val="0"/>
          <w:numId w:val="2"/>
        </w:numPr>
        <w:spacing w:before="60" w:after="60"/>
      </w:pPr>
      <w:r>
        <w:rPr>
          <w:rFonts w:ascii="Arial" w:cs="Arial" w:eastAsia="Arial" w:hAnsi="Arial"/>
          <w:color w:val="333333"/>
          <w:sz w:val="20"/>
          <w:szCs w:val="20"/>
        </w:rPr>
        <w:t xml:space="preserve">The Pact does not create a joint venture, partnership in the legal sense, fiduciary relationship, franchise, or agency relationship unless separately stated in a signed written agreement.</w:t>
      </w:r>
    </w:p>
    <w:p>
      <w:pPr>
        <w:pStyle w:val="ListParagraph"/>
        <w:numPr>
          <w:ilvl w:val="0"/>
          <w:numId w:val="2"/>
        </w:numPr>
        <w:spacing w:before="60" w:after="60"/>
      </w:pPr>
      <w:r>
        <w:rPr>
          <w:rFonts w:ascii="Arial" w:cs="Arial" w:eastAsia="Arial" w:hAnsi="Arial"/>
          <w:color w:val="333333"/>
          <w:sz w:val="20"/>
          <w:szCs w:val="20"/>
        </w:rPr>
        <w:t xml:space="preserve">Each participating organization remains solely responsible for its own governance, employment, finances, fundraising, case decisions, legal compliance, and operations.</w:t>
      </w:r>
    </w:p>
    <w:p>
      <w:pPr>
        <w:pStyle w:val="ListParagraph"/>
        <w:numPr>
          <w:ilvl w:val="0"/>
          <w:numId w:val="2"/>
        </w:numPr>
        <w:spacing w:before="60" w:after="60"/>
      </w:pPr>
      <w:r>
        <w:rPr>
          <w:rFonts w:ascii="Arial" w:cs="Arial" w:eastAsia="Arial" w:hAnsi="Arial"/>
          <w:color w:val="333333"/>
          <w:sz w:val="20"/>
          <w:szCs w:val="20"/>
        </w:rPr>
        <w:t xml:space="preserve">Participation may include access to shared coordination tools, common frameworks, coalition opportunities, and network-facing initiatives as defined by PROVENIQ Foundation.</w:t>
      </w:r>
    </w:p>
    <w:p>
      <w:pPr>
        <w:pStyle w:val="ListParagraph"/>
        <w:numPr>
          <w:ilvl w:val="0"/>
          <w:numId w:val="2"/>
        </w:numPr>
        <w:spacing w:before="60" w:after="60"/>
      </w:pPr>
      <w:r>
        <w:rPr>
          <w:rFonts w:ascii="Arial" w:cs="Arial" w:eastAsia="Arial" w:hAnsi="Arial"/>
          <w:color w:val="333333"/>
          <w:sz w:val="20"/>
          <w:szCs w:val="20"/>
        </w:rPr>
        <w:t xml:space="preserve">The Pact is a network framework for coordination, not a guarantee of funding, referrals, endorsements, or legal representation.</w:t>
      </w:r>
    </w:p>
    <w:p>
      <w:pPr>
        <w:pBdr>
          <w:bottom w:val="single" w:color="2E6DA4" w:sz="4" w:space="1"/>
        </w:pBdr>
        <w:spacing w:before="160" w:after="160"/>
      </w:pPr>
      <w:r>
        <w:t xml:space="preserve"/>
      </w:r>
    </w:p>
    <w:p>
      <w:pPr>
        <w:pStyle w:val="Heading1"/>
        <w:spacing w:before="320" w:after="160"/>
      </w:pPr>
      <w:r>
        <w:rPr>
          <w:rFonts w:ascii="Arial" w:cs="Arial" w:eastAsia="Arial" w:hAnsi="Arial"/>
          <w:b/>
          <w:bCs/>
          <w:color w:val="1A3A5C"/>
          <w:sz w:val="26"/>
          <w:szCs w:val="26"/>
        </w:rPr>
        <w:t xml:space="preserve">3. Parties Eligible to Participate</w:t>
      </w:r>
    </w:p>
    <w:p>
      <w:pPr>
        <w:spacing w:before="80" w:after="100"/>
      </w:pPr>
      <w:r>
        <w:rPr>
          <w:rFonts w:ascii="Arial" w:cs="Arial" w:eastAsia="Arial" w:hAnsi="Arial"/>
          <w:color w:val="333333"/>
          <w:sz w:val="20"/>
          <w:szCs w:val="20"/>
        </w:rPr>
        <w:t xml:space="preserve">Subject to review and approval by PROVENIQ Foundation, eligible participants may include:</w:t>
      </w:r>
    </w:p>
    <w:p>
      <w:pPr>
        <w:pStyle w:val="ListParagraph"/>
        <w:numPr>
          <w:ilvl w:val="0"/>
          <w:numId w:val="2"/>
        </w:numPr>
        <w:spacing w:before="60" w:after="60"/>
      </w:pPr>
      <w:r>
        <w:rPr>
          <w:rFonts w:ascii="Arial" w:cs="Arial" w:eastAsia="Arial" w:hAnsi="Arial"/>
          <w:color w:val="333333"/>
          <w:sz w:val="20"/>
          <w:szCs w:val="20"/>
        </w:rPr>
        <w:t xml:space="preserve">Animal shelters, humane societies, and foster-based rescues</w:t>
      </w:r>
    </w:p>
    <w:p>
      <w:pPr>
        <w:pStyle w:val="ListParagraph"/>
        <w:numPr>
          <w:ilvl w:val="0"/>
          <w:numId w:val="2"/>
        </w:numPr>
        <w:spacing w:before="60" w:after="60"/>
      </w:pPr>
      <w:r>
        <w:rPr>
          <w:rFonts w:ascii="Arial" w:cs="Arial" w:eastAsia="Arial" w:hAnsi="Arial"/>
          <w:color w:val="333333"/>
          <w:sz w:val="20"/>
          <w:szCs w:val="20"/>
        </w:rPr>
        <w:t xml:space="preserve">Veterinary clinics and veterinary partners</w:t>
      </w:r>
    </w:p>
    <w:p>
      <w:pPr>
        <w:pStyle w:val="ListParagraph"/>
        <w:numPr>
          <w:ilvl w:val="0"/>
          <w:numId w:val="2"/>
        </w:numPr>
        <w:spacing w:before="60" w:after="60"/>
      </w:pPr>
      <w:r>
        <w:rPr>
          <w:rFonts w:ascii="Arial" w:cs="Arial" w:eastAsia="Arial" w:hAnsi="Arial"/>
          <w:color w:val="333333"/>
          <w:sz w:val="20"/>
          <w:szCs w:val="20"/>
        </w:rPr>
        <w:t xml:space="preserve">Animal control agencies, municipal partners, and public safety partners</w:t>
      </w:r>
    </w:p>
    <w:p>
      <w:pPr>
        <w:pStyle w:val="ListParagraph"/>
        <w:numPr>
          <w:ilvl w:val="0"/>
          <w:numId w:val="2"/>
        </w:numPr>
        <w:spacing w:before="60" w:after="60"/>
      </w:pPr>
      <w:r>
        <w:rPr>
          <w:rFonts w:ascii="Arial" w:cs="Arial" w:eastAsia="Arial" w:hAnsi="Arial"/>
          <w:color w:val="333333"/>
          <w:sz w:val="20"/>
          <w:szCs w:val="20"/>
        </w:rPr>
        <w:t xml:space="preserve">Transport, reunification, prevention, and support organizations</w:t>
      </w:r>
    </w:p>
    <w:p>
      <w:pPr>
        <w:pStyle w:val="ListParagraph"/>
        <w:numPr>
          <w:ilvl w:val="0"/>
          <w:numId w:val="2"/>
        </w:numPr>
        <w:spacing w:before="60" w:after="60"/>
      </w:pPr>
      <w:r>
        <w:rPr>
          <w:rFonts w:ascii="Arial" w:cs="Arial" w:eastAsia="Arial" w:hAnsi="Arial"/>
          <w:color w:val="333333"/>
          <w:sz w:val="20"/>
          <w:szCs w:val="20"/>
        </w:rPr>
        <w:t xml:space="preserve">County, philanthropic, and mission-aligned community partners</w:t>
      </w:r>
    </w:p>
    <w:p>
      <w:pPr>
        <w:spacing w:before="60" w:after="0"/>
      </w:pPr>
      <w:r>
        <w:t xml:space="preserve"/>
      </w:r>
    </w:p>
    <w:p>
      <w:pPr>
        <w:spacing w:before="80" w:after="100"/>
      </w:pPr>
      <w:r>
        <w:rPr>
          <w:rFonts w:ascii="Arial" w:cs="Arial" w:eastAsia="Arial" w:hAnsi="Arial"/>
          <w:color w:val="333333"/>
          <w:sz w:val="20"/>
          <w:szCs w:val="20"/>
        </w:rPr>
        <w:t xml:space="preserve">Individual volunteers or informal community groups may be permitted in limited or pilot capacities under a separate participation category subject to additional controls.</w:t>
      </w:r>
    </w:p>
    <w:p>
      <w:pPr>
        <w:pBdr>
          <w:bottom w:val="single" w:color="2E6DA4" w:sz="4" w:space="1"/>
        </w:pBdr>
        <w:spacing w:before="160" w:after="160"/>
      </w:pPr>
      <w:r>
        <w:t xml:space="preserve"/>
      </w:r>
    </w:p>
    <w:p>
      <w:pPr>
        <w:pStyle w:val="Heading1"/>
        <w:spacing w:before="320" w:after="160"/>
      </w:pPr>
      <w:r>
        <w:rPr>
          <w:rFonts w:ascii="Arial" w:cs="Arial" w:eastAsia="Arial" w:hAnsi="Arial"/>
          <w:b/>
          <w:bCs/>
          <w:color w:val="1A3A5C"/>
          <w:sz w:val="26"/>
          <w:szCs w:val="26"/>
        </w:rPr>
        <w:t xml:space="preserve">4. Participation Tiers</w:t>
      </w:r>
    </w:p>
    <w:p>
      <w:pPr>
        <w:spacing w:before="80" w:after="100"/>
      </w:pPr>
      <w:r>
        <w:rPr>
          <w:rFonts w:ascii="Arial" w:cs="Arial" w:eastAsia="Arial" w:hAnsi="Arial"/>
          <w:color w:val="333333"/>
          <w:sz w:val="20"/>
          <w:szCs w:val="20"/>
        </w:rPr>
        <w:t xml:space="preserve">PROVENIQ Foundation may establish the following participation tiers, or modify tier definitions by published policy with reasonable notice:</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000"/>
        <w:gridCol w:w="4360"/>
      </w:tblGrid>
      <w:tr>
        <w:trPr>
          <w:tblHeader/>
        </w:trPr>
        <w:tc>
          <w:tcPr>
            <w:tcW w:type="dxa" w:w="2000"/>
            <w:tcBorders>
              <w:top w:val="single" w:color="CCCCCC" w:sz="1"/>
              <w:left w:val="single" w:color="CCCCCC" w:sz="1"/>
              <w:bottom w:val="single" w:color="CCCCCC" w:sz="1"/>
              <w:right w:val="single" w:color="CCCCCC" w:sz="1"/>
            </w:tcBorders>
            <w:shd w:fill="1A3A5C" w:val="clear"/>
            <w:tcMar>
              <w:top w:type="dxa" w:w="80"/>
              <w:left w:type="dxa" w:w="120"/>
              <w:bottom w:type="dxa" w:w="80"/>
              <w:right w:type="dxa" w:w="120"/>
            </w:tcMar>
          </w:tcPr>
          <w:p>
            <w:r>
              <w:rPr>
                <w:rFonts w:ascii="Arial" w:cs="Arial" w:eastAsia="Arial" w:hAnsi="Arial"/>
                <w:b/>
                <w:bCs/>
                <w:color w:val="FFFFFF"/>
                <w:sz w:val="18"/>
                <w:szCs w:val="18"/>
              </w:rPr>
              <w:t xml:space="preserve">Tier</w:t>
            </w:r>
          </w:p>
        </w:tc>
        <w:tc>
          <w:tcPr>
            <w:tcW w:type="dxa" w:w="3000"/>
            <w:tcBorders>
              <w:top w:val="single" w:color="CCCCCC" w:sz="1"/>
              <w:left w:val="single" w:color="CCCCCC" w:sz="1"/>
              <w:bottom w:val="single" w:color="CCCCCC" w:sz="1"/>
              <w:right w:val="single" w:color="CCCCCC" w:sz="1"/>
            </w:tcBorders>
            <w:shd w:fill="1A3A5C" w:val="clear"/>
            <w:tcMar>
              <w:top w:type="dxa" w:w="80"/>
              <w:left w:type="dxa" w:w="120"/>
              <w:bottom w:type="dxa" w:w="80"/>
              <w:right w:type="dxa" w:w="120"/>
            </w:tcMar>
          </w:tcPr>
          <w:p>
            <w:r>
              <w:rPr>
                <w:rFonts w:ascii="Arial" w:cs="Arial" w:eastAsia="Arial" w:hAnsi="Arial"/>
                <w:b/>
                <w:bCs/>
                <w:color w:val="FFFFFF"/>
                <w:sz w:val="18"/>
                <w:szCs w:val="18"/>
              </w:rPr>
              <w:t xml:space="preserve">Name</w:t>
            </w:r>
          </w:p>
        </w:tc>
        <w:tc>
          <w:tcPr>
            <w:tcW w:type="dxa" w:w="4360"/>
            <w:tcBorders>
              <w:top w:val="single" w:color="CCCCCC" w:sz="1"/>
              <w:left w:val="single" w:color="CCCCCC" w:sz="1"/>
              <w:bottom w:val="single" w:color="CCCCCC" w:sz="1"/>
              <w:right w:val="single" w:color="CCCCCC" w:sz="1"/>
            </w:tcBorders>
            <w:shd w:fill="1A3A5C" w:val="clear"/>
            <w:tcMar>
              <w:top w:type="dxa" w:w="80"/>
              <w:left w:type="dxa" w:w="120"/>
              <w:bottom w:type="dxa" w:w="80"/>
              <w:right w:type="dxa" w:w="120"/>
            </w:tcMar>
          </w:tcPr>
          <w:p>
            <w:r>
              <w:rPr>
                <w:rFonts w:ascii="Arial" w:cs="Arial" w:eastAsia="Arial" w:hAnsi="Arial"/>
                <w:b/>
                <w:bCs/>
                <w:color w:val="FFFFFF"/>
                <w:sz w:val="18"/>
                <w:szCs w:val="18"/>
              </w:rPr>
              <w:t xml:space="preserve">Description</w:t>
            </w:r>
          </w:p>
        </w:tc>
      </w:tr>
      <w:tr>
        <w:tc>
          <w:tcPr>
            <w:tcW w:type="dxa" w:w="2000"/>
            <w:tcBorders>
              <w:top w:val="single" w:color="CCCCCC" w:sz="1"/>
              <w:left w:val="single" w:color="CCCCCC" w:sz="1"/>
              <w:bottom w:val="single" w:color="CCCCCC" w:sz="1"/>
              <w:right w:val="single" w:color="CCCCCC" w:sz="1"/>
            </w:tcBorders>
            <w:shd w:fill="E8F4FD" w:val="clear"/>
            <w:tcMar>
              <w:top w:type="dxa" w:w="80"/>
              <w:left w:type="dxa" w:w="120"/>
              <w:bottom w:type="dxa" w:w="80"/>
              <w:right w:type="dxa" w:w="120"/>
            </w:tcMar>
          </w:tcPr>
          <w:p>
            <w:r>
              <w:rPr>
                <w:rFonts w:ascii="Arial" w:cs="Arial" w:eastAsia="Arial" w:hAnsi="Arial"/>
                <w:b/>
                <w:bCs/>
                <w:color w:val="1A3A5C"/>
                <w:sz w:val="18"/>
                <w:szCs w:val="18"/>
              </w:rPr>
              <w:t xml:space="preserve">1</w:t>
            </w:r>
          </w:p>
        </w:tc>
        <w:tc>
          <w:tcPr>
            <w:tcW w:type="dxa" w:w="3000"/>
            <w:tcBorders>
              <w:top w:val="single" w:color="CCCCCC" w:sz="1"/>
              <w:left w:val="single" w:color="CCCCCC" w:sz="1"/>
              <w:bottom w:val="single" w:color="CCCCCC" w:sz="1"/>
              <w:right w:val="single" w:color="CCCCCC" w:sz="1"/>
            </w:tcBorders>
            <w:shd w:fill="E8F4FD" w:val="clear"/>
            <w:tcMar>
              <w:top w:type="dxa" w:w="80"/>
              <w:left w:type="dxa" w:w="120"/>
              <w:bottom w:type="dxa" w:w="80"/>
              <w:right w:type="dxa" w:w="120"/>
            </w:tcMar>
          </w:tcPr>
          <w:p>
            <w:r>
              <w:rPr>
                <w:rFonts w:ascii="Arial" w:cs="Arial" w:eastAsia="Arial" w:hAnsi="Arial"/>
                <w:b/>
                <w:bCs/>
                <w:color w:val="2E6DA4"/>
                <w:sz w:val="18"/>
                <w:szCs w:val="18"/>
              </w:rPr>
              <w:t xml:space="preserve">Explorer</w:t>
            </w:r>
          </w:p>
        </w:tc>
        <w:tc>
          <w:tcPr>
            <w:tcW w:type="dxa" w:w="4360"/>
            <w:tcBorders>
              <w:top w:val="single" w:color="CCCCCC" w:sz="1"/>
              <w:left w:val="single" w:color="CCCCCC" w:sz="1"/>
              <w:bottom w:val="single" w:color="CCCCCC" w:sz="1"/>
              <w:right w:val="single" w:color="CCCCCC" w:sz="1"/>
            </w:tcBorders>
            <w:shd w:fill="E8F4FD" w:val="clear"/>
            <w:tcMar>
              <w:top w:type="dxa" w:w="80"/>
              <w:left w:type="dxa" w:w="120"/>
              <w:bottom w:type="dxa" w:w="80"/>
              <w:right w:type="dxa" w:w="120"/>
            </w:tcMar>
          </w:tcPr>
          <w:p>
            <w:r>
              <w:rPr>
                <w:rFonts w:ascii="Arial" w:cs="Arial" w:eastAsia="Arial" w:hAnsi="Arial"/>
                <w:color w:val="333333"/>
                <w:sz w:val="18"/>
                <w:szCs w:val="18"/>
              </w:rPr>
              <w:t xml:space="preserve">Exploratory access; reviewing tools, attending introductory calls; no system access yet.</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3A5C"/>
                <w:sz w:val="18"/>
                <w:szCs w:val="18"/>
              </w:rPr>
              <w:t xml:space="preserve">2</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E6DA4"/>
                <w:sz w:val="18"/>
                <w:szCs w:val="18"/>
              </w:rPr>
              <w:t xml:space="preserve">Participant</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Active member with approved access to at least one PROVENIQ System platform; meets baseline standards.</w:t>
            </w:r>
          </w:p>
        </w:tc>
      </w:tr>
      <w:tr>
        <w:tc>
          <w:tcPr>
            <w:tcW w:type="dxa" w:w="2000"/>
            <w:tcBorders>
              <w:top w:val="single" w:color="CCCCCC" w:sz="1"/>
              <w:left w:val="single" w:color="CCCCCC" w:sz="1"/>
              <w:bottom w:val="single" w:color="CCCCCC" w:sz="1"/>
              <w:right w:val="single" w:color="CCCCCC" w:sz="1"/>
            </w:tcBorders>
            <w:shd w:fill="E8F4FD" w:val="clear"/>
            <w:tcMar>
              <w:top w:type="dxa" w:w="80"/>
              <w:left w:type="dxa" w:w="120"/>
              <w:bottom w:type="dxa" w:w="80"/>
              <w:right w:type="dxa" w:w="120"/>
            </w:tcMar>
          </w:tcPr>
          <w:p>
            <w:r>
              <w:rPr>
                <w:rFonts w:ascii="Arial" w:cs="Arial" w:eastAsia="Arial" w:hAnsi="Arial"/>
                <w:b/>
                <w:bCs/>
                <w:color w:val="1A3A5C"/>
                <w:sz w:val="18"/>
                <w:szCs w:val="18"/>
              </w:rPr>
              <w:t xml:space="preserve">3</w:t>
            </w:r>
          </w:p>
        </w:tc>
        <w:tc>
          <w:tcPr>
            <w:tcW w:type="dxa" w:w="3000"/>
            <w:tcBorders>
              <w:top w:val="single" w:color="CCCCCC" w:sz="1"/>
              <w:left w:val="single" w:color="CCCCCC" w:sz="1"/>
              <w:bottom w:val="single" w:color="CCCCCC" w:sz="1"/>
              <w:right w:val="single" w:color="CCCCCC" w:sz="1"/>
            </w:tcBorders>
            <w:shd w:fill="E8F4FD" w:val="clear"/>
            <w:tcMar>
              <w:top w:type="dxa" w:w="80"/>
              <w:left w:type="dxa" w:w="120"/>
              <w:bottom w:type="dxa" w:w="80"/>
              <w:right w:type="dxa" w:w="120"/>
            </w:tcMar>
          </w:tcPr>
          <w:p>
            <w:r>
              <w:rPr>
                <w:rFonts w:ascii="Arial" w:cs="Arial" w:eastAsia="Arial" w:hAnsi="Arial"/>
                <w:b/>
                <w:bCs/>
                <w:color w:val="2E6DA4"/>
                <w:sz w:val="18"/>
                <w:szCs w:val="18"/>
              </w:rPr>
              <w:t xml:space="preserve">Operating Partner</w:t>
            </w:r>
          </w:p>
        </w:tc>
        <w:tc>
          <w:tcPr>
            <w:tcW w:type="dxa" w:w="4360"/>
            <w:tcBorders>
              <w:top w:val="single" w:color="CCCCCC" w:sz="1"/>
              <w:left w:val="single" w:color="CCCCCC" w:sz="1"/>
              <w:bottom w:val="single" w:color="CCCCCC" w:sz="1"/>
              <w:right w:val="single" w:color="CCCCCC" w:sz="1"/>
            </w:tcBorders>
            <w:shd w:fill="E8F4FD" w:val="clear"/>
            <w:tcMar>
              <w:top w:type="dxa" w:w="80"/>
              <w:left w:type="dxa" w:w="120"/>
              <w:bottom w:type="dxa" w:w="80"/>
              <w:right w:type="dxa" w:w="120"/>
            </w:tcMar>
          </w:tcPr>
          <w:p>
            <w:r>
              <w:rPr>
                <w:rFonts w:ascii="Arial" w:cs="Arial" w:eastAsia="Arial" w:hAnsi="Arial"/>
                <w:color w:val="333333"/>
                <w:sz w:val="18"/>
                <w:szCs w:val="18"/>
              </w:rPr>
              <w:t xml:space="preserve">Integrated into one or more core workflows; agreed data or coordination responsibilities; may appear in public directories.</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3A5C"/>
                <w:sz w:val="18"/>
                <w:szCs w:val="18"/>
              </w:rPr>
              <w:t xml:space="preserve">4</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E6DA4"/>
                <w:sz w:val="18"/>
                <w:szCs w:val="18"/>
              </w:rPr>
              <w:t xml:space="preserve">Founding Partner</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Among the first cohort of committed organizations; recognized publicly as a network builder; may receive early-access designation and founder acknowledgment.</w:t>
            </w:r>
          </w:p>
        </w:tc>
      </w:tr>
    </w:tbl>
    <w:p>
      <w:pPr>
        <w:spacing w:before="60" w:after="80"/>
        <w:ind w:left="720"/>
      </w:pPr>
      <w:r>
        <w:rPr>
          <w:rFonts w:ascii="Arial" w:cs="Arial" w:eastAsia="Arial" w:hAnsi="Arial"/>
          <w:i/>
          <w:iCs/>
          <w:color w:val="C0392B"/>
          <w:sz w:val="18"/>
          <w:szCs w:val="18"/>
        </w:rPr>
        <w:t xml:space="preserve">⚑ LEGAL REVIEW NOTE: Counsel should confirm whether tier distinctions require separate written instruments or whether a single acknowledgment with tier designation is sufficient.</w:t>
      </w:r>
    </w:p>
    <w:p>
      <w:pPr>
        <w:pBdr>
          <w:bottom w:val="single" w:color="2E6DA4" w:sz="4" w:space="1"/>
        </w:pBdr>
        <w:spacing w:before="160" w:after="160"/>
      </w:pPr>
      <w:r>
        <w:t xml:space="preserve"/>
      </w:r>
    </w:p>
    <w:p>
      <w:pPr>
        <w:pStyle w:val="Heading1"/>
        <w:spacing w:before="320" w:after="160"/>
      </w:pPr>
      <w:r>
        <w:rPr>
          <w:rFonts w:ascii="Arial" w:cs="Arial" w:eastAsia="Arial" w:hAnsi="Arial"/>
          <w:b/>
          <w:bCs/>
          <w:color w:val="1A3A5C"/>
          <w:sz w:val="26"/>
          <w:szCs w:val="26"/>
        </w:rPr>
        <w:t xml:space="preserve">5. Shared Commitments</w:t>
      </w:r>
    </w:p>
    <w:p>
      <w:pPr>
        <w:spacing w:before="80" w:after="100"/>
      </w:pPr>
      <w:r>
        <w:rPr>
          <w:rFonts w:ascii="Arial" w:cs="Arial" w:eastAsia="Arial" w:hAnsi="Arial"/>
          <w:color w:val="333333"/>
          <w:sz w:val="20"/>
          <w:szCs w:val="20"/>
        </w:rPr>
        <w:t xml:space="preserve">Each participant agrees to:</w:t>
      </w:r>
    </w:p>
    <w:p>
      <w:pPr>
        <w:pStyle w:val="ListParagraph"/>
        <w:numPr>
          <w:ilvl w:val="0"/>
          <w:numId w:val="2"/>
        </w:numPr>
        <w:spacing w:before="60" w:after="60"/>
      </w:pPr>
      <w:r>
        <w:rPr>
          <w:rFonts w:ascii="Arial" w:cs="Arial" w:eastAsia="Arial" w:hAnsi="Arial"/>
          <w:color w:val="333333"/>
          <w:sz w:val="20"/>
          <w:szCs w:val="20"/>
        </w:rPr>
        <w:t xml:space="preserve">Act in good faith toward animals, partner organizations, and the public.</w:t>
      </w:r>
    </w:p>
    <w:p>
      <w:pPr>
        <w:pStyle w:val="ListParagraph"/>
        <w:numPr>
          <w:ilvl w:val="0"/>
          <w:numId w:val="2"/>
        </w:numPr>
        <w:spacing w:before="60" w:after="60"/>
      </w:pPr>
      <w:r>
        <w:rPr>
          <w:rFonts w:ascii="Arial" w:cs="Arial" w:eastAsia="Arial" w:hAnsi="Arial"/>
          <w:color w:val="333333"/>
          <w:sz w:val="20"/>
          <w:szCs w:val="20"/>
        </w:rPr>
        <w:t xml:space="preserve">Use the network in a lawful, humane, and accountable manner.</w:t>
      </w:r>
    </w:p>
    <w:p>
      <w:pPr>
        <w:pStyle w:val="ListParagraph"/>
        <w:numPr>
          <w:ilvl w:val="0"/>
          <w:numId w:val="2"/>
        </w:numPr>
        <w:spacing w:before="60" w:after="60"/>
      </w:pPr>
      <w:r>
        <w:rPr>
          <w:rFonts w:ascii="Arial" w:cs="Arial" w:eastAsia="Arial" w:hAnsi="Arial"/>
          <w:color w:val="333333"/>
          <w:sz w:val="20"/>
          <w:szCs w:val="20"/>
        </w:rPr>
        <w:t xml:space="preserve">Avoid knowingly submitting false, misleading, abusive, retaliatory, or bad-faith information through shared systems.</w:t>
      </w:r>
    </w:p>
    <w:p>
      <w:pPr>
        <w:pStyle w:val="ListParagraph"/>
        <w:numPr>
          <w:ilvl w:val="0"/>
          <w:numId w:val="2"/>
        </w:numPr>
        <w:spacing w:before="60" w:after="60"/>
      </w:pPr>
      <w:r>
        <w:rPr>
          <w:rFonts w:ascii="Arial" w:cs="Arial" w:eastAsia="Arial" w:hAnsi="Arial"/>
          <w:color w:val="333333"/>
          <w:sz w:val="20"/>
          <w:szCs w:val="20"/>
        </w:rPr>
        <w:t xml:space="preserve">Respect confidentiality, privacy, and data handling requirements applicable to the participant's role and the information involved.</w:t>
      </w:r>
    </w:p>
    <w:p>
      <w:pPr>
        <w:pStyle w:val="ListParagraph"/>
        <w:numPr>
          <w:ilvl w:val="0"/>
          <w:numId w:val="2"/>
        </w:numPr>
        <w:spacing w:before="60" w:after="60"/>
      </w:pPr>
      <w:r>
        <w:rPr>
          <w:rFonts w:ascii="Arial" w:cs="Arial" w:eastAsia="Arial" w:hAnsi="Arial"/>
          <w:color w:val="333333"/>
          <w:sz w:val="20"/>
          <w:szCs w:val="20"/>
        </w:rPr>
        <w:t xml:space="preserve">Support orderly referrals, handoffs, and coordination where participation requires them.</w:t>
      </w:r>
    </w:p>
    <w:p>
      <w:pPr>
        <w:pStyle w:val="ListParagraph"/>
        <w:numPr>
          <w:ilvl w:val="0"/>
          <w:numId w:val="2"/>
        </w:numPr>
        <w:spacing w:before="60" w:after="60"/>
      </w:pPr>
      <w:r>
        <w:rPr>
          <w:rFonts w:ascii="Arial" w:cs="Arial" w:eastAsia="Arial" w:hAnsi="Arial"/>
          <w:color w:val="333333"/>
          <w:sz w:val="20"/>
          <w:szCs w:val="20"/>
        </w:rPr>
        <w:t xml:space="preserve">Maintain accurate organizational information and points of contact within shared systems.</w:t>
      </w:r>
    </w:p>
    <w:p>
      <w:pPr>
        <w:pStyle w:val="ListParagraph"/>
        <w:numPr>
          <w:ilvl w:val="0"/>
          <w:numId w:val="2"/>
        </w:numPr>
        <w:spacing w:before="60" w:after="60"/>
      </w:pPr>
      <w:r>
        <w:rPr>
          <w:rFonts w:ascii="Arial" w:cs="Arial" w:eastAsia="Arial" w:hAnsi="Arial"/>
          <w:color w:val="333333"/>
          <w:sz w:val="20"/>
          <w:szCs w:val="20"/>
        </w:rPr>
        <w:t xml:space="preserve">Refrain from conduct that would materially undermine network trust, public safety, or animal welfare outcomes.</w:t>
      </w:r>
    </w:p>
    <w:p>
      <w:pPr>
        <w:pStyle w:val="ListParagraph"/>
        <w:numPr>
          <w:ilvl w:val="0"/>
          <w:numId w:val="2"/>
        </w:numPr>
        <w:spacing w:before="60" w:after="60"/>
      </w:pPr>
      <w:r>
        <w:rPr>
          <w:rFonts w:ascii="Arial" w:cs="Arial" w:eastAsia="Arial" w:hAnsi="Arial"/>
          <w:color w:val="333333"/>
          <w:sz w:val="20"/>
          <w:szCs w:val="20"/>
        </w:rPr>
        <w:t xml:space="preserve">Comply with all applicable laws, regulations, permits, reporting duties, and organizational obligations.</w:t>
      </w:r>
    </w:p>
    <w:p>
      <w:pPr>
        <w:pBdr>
          <w:bottom w:val="single" w:color="2E6DA4" w:sz="4" w:space="1"/>
        </w:pBdr>
        <w:spacing w:before="160" w:after="160"/>
      </w:pPr>
      <w:r>
        <w:t xml:space="preserve"/>
      </w:r>
    </w:p>
    <w:p>
      <w:pPr>
        <w:pStyle w:val="Heading1"/>
        <w:spacing w:before="320" w:after="160"/>
      </w:pPr>
      <w:r>
        <w:rPr>
          <w:rFonts w:ascii="Arial" w:cs="Arial" w:eastAsia="Arial" w:hAnsi="Arial"/>
          <w:b/>
          <w:bCs/>
          <w:color w:val="1A3A5C"/>
          <w:sz w:val="26"/>
          <w:szCs w:val="26"/>
        </w:rPr>
        <w:t xml:space="preserve">6. Guardrails</w:t>
      </w:r>
    </w:p>
    <w:p>
      <w:pPr>
        <w:spacing w:before="80" w:after="100"/>
      </w:pPr>
      <w:r>
        <w:rPr>
          <w:rFonts w:ascii="Arial" w:cs="Arial" w:eastAsia="Arial" w:hAnsi="Arial"/>
          <w:color w:val="333333"/>
          <w:sz w:val="20"/>
          <w:szCs w:val="20"/>
        </w:rPr>
        <w:t xml:space="preserve">The following guardrails apply to all participants. Violation of any guardrail may result in corrective action up to and including termination of participation.</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1A3A5C" w:val="clear"/>
            <w:tcMar>
              <w:top w:type="dxa" w:w="80"/>
              <w:left w:type="dxa" w:w="120"/>
              <w:bottom w:type="dxa" w:w="80"/>
              <w:right w:type="dxa" w:w="120"/>
            </w:tcMar>
          </w:tcPr>
          <w:p>
            <w:r>
              <w:rPr>
                <w:rFonts w:ascii="Arial" w:cs="Arial" w:eastAsia="Arial" w:hAnsi="Arial"/>
                <w:b/>
                <w:bCs/>
                <w:color w:val="FFFFFF"/>
                <w:sz w:val="18"/>
                <w:szCs w:val="18"/>
              </w:rPr>
              <w:t xml:space="preserve">Guardrail</w:t>
            </w:r>
          </w:p>
        </w:tc>
        <w:tc>
          <w:tcPr>
            <w:tcW w:type="dxa" w:w="6560"/>
            <w:tcBorders>
              <w:top w:val="single" w:color="CCCCCC" w:sz="1"/>
              <w:left w:val="single" w:color="CCCCCC" w:sz="1"/>
              <w:bottom w:val="single" w:color="CCCCCC" w:sz="1"/>
              <w:right w:val="single" w:color="CCCCCC" w:sz="1"/>
            </w:tcBorders>
            <w:shd w:fill="1A3A5C" w:val="clear"/>
            <w:tcMar>
              <w:top w:type="dxa" w:w="80"/>
              <w:left w:type="dxa" w:w="120"/>
              <w:bottom w:type="dxa" w:w="80"/>
              <w:right w:type="dxa" w:w="120"/>
            </w:tcMar>
          </w:tcPr>
          <w:p>
            <w:r>
              <w:rPr>
                <w:rFonts w:ascii="Arial" w:cs="Arial" w:eastAsia="Arial" w:hAnsi="Arial"/>
                <w:b/>
                <w:bCs/>
                <w:color w:val="FFFFFF"/>
                <w:sz w:val="18"/>
                <w:szCs w:val="18"/>
              </w:rPr>
              <w:t xml:space="preserve">What It Means</w:t>
            </w:r>
          </w:p>
        </w:tc>
      </w:tr>
      <w:tr>
        <w:tc>
          <w:tcPr>
            <w:tcW w:type="dxa" w:w="2800"/>
            <w:tcBorders>
              <w:top w:val="single" w:color="CCCCCC" w:sz="1"/>
              <w:left w:val="single" w:color="CCCCCC" w:sz="1"/>
              <w:bottom w:val="single" w:color="CCCCCC" w:sz="1"/>
              <w:right w:val="single" w:color="CCCCCC" w:sz="1"/>
            </w:tcBorders>
            <w:shd w:fill="D6E8F7" w:val="clear"/>
            <w:tcMar>
              <w:top w:type="dxa" w:w="80"/>
              <w:left w:type="dxa" w:w="120"/>
              <w:bottom w:type="dxa" w:w="80"/>
              <w:right w:type="dxa" w:w="120"/>
            </w:tcMar>
          </w:tcPr>
          <w:p>
            <w:r>
              <w:rPr>
                <w:rFonts w:ascii="Arial" w:cs="Arial" w:eastAsia="Arial" w:hAnsi="Arial"/>
                <w:b/>
                <w:bCs/>
                <w:color w:val="1A3A5C"/>
                <w:sz w:val="18"/>
                <w:szCs w:val="18"/>
              </w:rPr>
              <w:t xml:space="preserve">No Takeover by Stealth</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PAW Pact participation may not be represented as ownership, managerial control, or authority over another participant.</w:t>
            </w:r>
          </w:p>
        </w:tc>
      </w:tr>
      <w:tr>
        <w:tc>
          <w:tcPr>
            <w:tcW w:type="dxa" w:w="2800"/>
            <w:tcBorders>
              <w:top w:val="single" w:color="CCCCCC" w:sz="1"/>
              <w:left w:val="single" w:color="CCCCCC" w:sz="1"/>
              <w:bottom w:val="single" w:color="CCCCCC" w:sz="1"/>
              <w:right w:val="single" w:color="CCCCCC" w:sz="1"/>
            </w:tcBorders>
            <w:shd w:fill="D6E8F7" w:val="clear"/>
            <w:tcMar>
              <w:top w:type="dxa" w:w="80"/>
              <w:left w:type="dxa" w:w="120"/>
              <w:bottom w:type="dxa" w:w="80"/>
              <w:right w:type="dxa" w:w="120"/>
            </w:tcMar>
          </w:tcPr>
          <w:p>
            <w:r>
              <w:rPr>
                <w:rFonts w:ascii="Arial" w:cs="Arial" w:eastAsia="Arial" w:hAnsi="Arial"/>
                <w:b/>
                <w:bCs/>
                <w:color w:val="1A3A5C"/>
                <w:sz w:val="18"/>
                <w:szCs w:val="18"/>
              </w:rPr>
              <w:t xml:space="preserve">No Forced Endorsement</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Participation does not mean automatic endorsement of every PROVENIQ initiative, policy position, or legislative campaign unless expressly stated in a separate signed document.</w:t>
            </w:r>
          </w:p>
        </w:tc>
      </w:tr>
      <w:tr>
        <w:tc>
          <w:tcPr>
            <w:tcW w:type="dxa" w:w="2800"/>
            <w:tcBorders>
              <w:top w:val="single" w:color="CCCCCC" w:sz="1"/>
              <w:left w:val="single" w:color="CCCCCC" w:sz="1"/>
              <w:bottom w:val="single" w:color="CCCCCC" w:sz="1"/>
              <w:right w:val="single" w:color="CCCCCC" w:sz="1"/>
            </w:tcBorders>
            <w:shd w:fill="D6E8F7" w:val="clear"/>
            <w:tcMar>
              <w:top w:type="dxa" w:w="80"/>
              <w:left w:type="dxa" w:w="120"/>
              <w:bottom w:type="dxa" w:w="80"/>
              <w:right w:type="dxa" w:w="120"/>
            </w:tcMar>
          </w:tcPr>
          <w:p>
            <w:r>
              <w:rPr>
                <w:rFonts w:ascii="Arial" w:cs="Arial" w:eastAsia="Arial" w:hAnsi="Arial"/>
                <w:b/>
                <w:bCs/>
                <w:color w:val="1A3A5C"/>
                <w:sz w:val="18"/>
                <w:szCs w:val="18"/>
              </w:rPr>
              <w:t xml:space="preserve">No False Badge Use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Participants may not misuse the PAW Pact name, logo, or affiliation to imply certification, exclusivity, regulatory authority, or guaranteed outcomes beyond what is actually granted.</w:t>
            </w:r>
          </w:p>
        </w:tc>
      </w:tr>
      <w:tr>
        <w:tc>
          <w:tcPr>
            <w:tcW w:type="dxa" w:w="2800"/>
            <w:tcBorders>
              <w:top w:val="single" w:color="CCCCCC" w:sz="1"/>
              <w:left w:val="single" w:color="CCCCCC" w:sz="1"/>
              <w:bottom w:val="single" w:color="CCCCCC" w:sz="1"/>
              <w:right w:val="single" w:color="CCCCCC" w:sz="1"/>
            </w:tcBorders>
            <w:shd w:fill="D6E8F7" w:val="clear"/>
            <w:tcMar>
              <w:top w:type="dxa" w:w="80"/>
              <w:left w:type="dxa" w:w="120"/>
              <w:bottom w:type="dxa" w:w="80"/>
              <w:right w:type="dxa" w:w="120"/>
            </w:tcMar>
          </w:tcPr>
          <w:p>
            <w:r>
              <w:rPr>
                <w:rFonts w:ascii="Arial" w:cs="Arial" w:eastAsia="Arial" w:hAnsi="Arial"/>
                <w:b/>
                <w:bCs/>
                <w:color w:val="1A3A5C"/>
                <w:sz w:val="18"/>
                <w:szCs w:val="18"/>
              </w:rPr>
              <w:t xml:space="preserve">No Anti-Competitive Misuse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The PAW Pact may not be used to unlawfully exclude organizations, fix pricing, block lawful services, or coordinate improper market behavior.</w:t>
            </w:r>
          </w:p>
        </w:tc>
      </w:tr>
      <w:tr>
        <w:tc>
          <w:tcPr>
            <w:tcW w:type="dxa" w:w="2800"/>
            <w:tcBorders>
              <w:top w:val="single" w:color="CCCCCC" w:sz="1"/>
              <w:left w:val="single" w:color="CCCCCC" w:sz="1"/>
              <w:bottom w:val="single" w:color="CCCCCC" w:sz="1"/>
              <w:right w:val="single" w:color="CCCCCC" w:sz="1"/>
            </w:tcBorders>
            <w:shd w:fill="D6E8F7" w:val="clear"/>
            <w:tcMar>
              <w:top w:type="dxa" w:w="80"/>
              <w:left w:type="dxa" w:w="120"/>
              <w:bottom w:type="dxa" w:w="80"/>
              <w:right w:type="dxa" w:w="120"/>
            </w:tcMar>
          </w:tcPr>
          <w:p>
            <w:r>
              <w:rPr>
                <w:rFonts w:ascii="Arial" w:cs="Arial" w:eastAsia="Arial" w:hAnsi="Arial"/>
                <w:b/>
                <w:bCs/>
                <w:color w:val="1A3A5C"/>
                <w:sz w:val="18"/>
                <w:szCs w:val="18"/>
              </w:rPr>
              <w:t xml:space="preserve">No Data Abuse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Shared information may not be sold, scraped, weaponized, or used to harass, retaliate against, or exploit organizations, staff, volunteers, fosters, or members of the public.</w:t>
            </w:r>
          </w:p>
        </w:tc>
      </w:tr>
      <w:tr>
        <w:tc>
          <w:tcPr>
            <w:tcW w:type="dxa" w:w="2800"/>
            <w:tcBorders>
              <w:top w:val="single" w:color="CCCCCC" w:sz="1"/>
              <w:left w:val="single" w:color="CCCCCC" w:sz="1"/>
              <w:bottom w:val="single" w:color="CCCCCC" w:sz="1"/>
              <w:right w:val="single" w:color="CCCCCC" w:sz="1"/>
            </w:tcBorders>
            <w:shd w:fill="D6E8F7" w:val="clear"/>
            <w:tcMar>
              <w:top w:type="dxa" w:w="80"/>
              <w:left w:type="dxa" w:w="120"/>
              <w:bottom w:type="dxa" w:w="80"/>
              <w:right w:type="dxa" w:w="120"/>
            </w:tcMar>
          </w:tcPr>
          <w:p>
            <w:r>
              <w:rPr>
                <w:rFonts w:ascii="Arial" w:cs="Arial" w:eastAsia="Arial" w:hAnsi="Arial"/>
                <w:b/>
                <w:bCs/>
                <w:color w:val="1A3A5C"/>
                <w:sz w:val="18"/>
                <w:szCs w:val="18"/>
              </w:rPr>
              <w:t xml:space="preserve">No Reputation Laundering</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An organization with chronic abuse, fraud, severe negligence, or repeated bad-faith conduct may not use PAW Pact affiliation as cover while refusing corrective action.</w:t>
            </w:r>
          </w:p>
        </w:tc>
      </w:tr>
      <w:tr>
        <w:tc>
          <w:tcPr>
            <w:tcW w:type="dxa" w:w="2800"/>
            <w:tcBorders>
              <w:top w:val="single" w:color="CCCCCC" w:sz="1"/>
              <w:left w:val="single" w:color="CCCCCC" w:sz="1"/>
              <w:bottom w:val="single" w:color="CCCCCC" w:sz="1"/>
              <w:right w:val="single" w:color="CCCCCC" w:sz="1"/>
            </w:tcBorders>
            <w:shd w:fill="D6E8F7" w:val="clear"/>
            <w:tcMar>
              <w:top w:type="dxa" w:w="80"/>
              <w:left w:type="dxa" w:w="120"/>
              <w:bottom w:type="dxa" w:w="80"/>
              <w:right w:type="dxa" w:w="120"/>
            </w:tcMar>
          </w:tcPr>
          <w:p>
            <w:r>
              <w:rPr>
                <w:rFonts w:ascii="Arial" w:cs="Arial" w:eastAsia="Arial" w:hAnsi="Arial"/>
                <w:b/>
                <w:bCs/>
                <w:color w:val="1A3A5C"/>
                <w:sz w:val="18"/>
                <w:szCs w:val="18"/>
              </w:rPr>
              <w:t xml:space="preserve">No Mission Drift by Confusion</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Public materials must clearly distinguish the Foundation, the PROVENIQ System platforms, the PAW Pact, and legislative work so the public is not misled.</w:t>
            </w:r>
          </w:p>
        </w:tc>
      </w:tr>
      <w:tr>
        <w:tc>
          <w:tcPr>
            <w:tcW w:type="dxa" w:w="2800"/>
            <w:tcBorders>
              <w:top w:val="single" w:color="CCCCCC" w:sz="1"/>
              <w:left w:val="single" w:color="CCCCCC" w:sz="1"/>
              <w:bottom w:val="single" w:color="CCCCCC" w:sz="1"/>
              <w:right w:val="single" w:color="CCCCCC" w:sz="1"/>
            </w:tcBorders>
            <w:shd w:fill="D6E8F7" w:val="clear"/>
            <w:tcMar>
              <w:top w:type="dxa" w:w="80"/>
              <w:left w:type="dxa" w:w="120"/>
              <w:bottom w:type="dxa" w:w="80"/>
              <w:right w:type="dxa" w:w="120"/>
            </w:tcMar>
          </w:tcPr>
          <w:p>
            <w:r>
              <w:rPr>
                <w:rFonts w:ascii="Arial" w:cs="Arial" w:eastAsia="Arial" w:hAnsi="Arial"/>
                <w:b/>
                <w:bCs/>
                <w:color w:val="1A3A5C"/>
                <w:sz w:val="18"/>
                <w:szCs w:val="18"/>
              </w:rPr>
              <w:t xml:space="preserve">No Silence on Safety</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Serious safety threats, cruelty concerns, credential fraud, privacy breaches, or network misuse must be escalated through designated reporting channels. Retaliation against good-faith reporters is prohibited.</w:t>
            </w:r>
          </w:p>
        </w:tc>
      </w:tr>
    </w:tbl>
    <w:p>
      <w:pPr>
        <w:pBdr>
          <w:bottom w:val="single" w:color="2E6DA4" w:sz="4" w:space="1"/>
        </w:pBdr>
        <w:spacing w:before="160" w:after="160"/>
      </w:pPr>
      <w:r>
        <w:t xml:space="preserve"/>
      </w:r>
    </w:p>
    <w:p>
      <w:pPr>
        <w:pStyle w:val="Heading1"/>
        <w:spacing w:before="320" w:after="160"/>
      </w:pPr>
      <w:r>
        <w:rPr>
          <w:rFonts w:ascii="Arial" w:cs="Arial" w:eastAsia="Arial" w:hAnsi="Arial"/>
          <w:b/>
          <w:bCs/>
          <w:color w:val="1A3A5C"/>
          <w:sz w:val="26"/>
          <w:szCs w:val="26"/>
        </w:rPr>
        <w:t xml:space="preserve">7. Data, Systems, and Use of Shared Infrastructure</w:t>
      </w:r>
    </w:p>
    <w:p>
      <w:pPr>
        <w:spacing w:before="80" w:after="100"/>
      </w:pPr>
      <w:r>
        <w:rPr>
          <w:rFonts w:ascii="Arial" w:cs="Arial" w:eastAsia="Arial" w:hAnsi="Arial"/>
          <w:color w:val="333333"/>
          <w:sz w:val="20"/>
          <w:szCs w:val="20"/>
        </w:rPr>
        <w:t xml:space="preserve">Where participants use shared systems — including ShelterOS, VetOS, LifeLog, MAYDAY, or other components of the PROVENIQ System — they may do so only in accordance with the Foundation's published rules, user roles, privacy expectations, technical standards, and any workflow-specific conditions.</w:t>
      </w:r>
    </w:p>
    <w:p>
      <w:pPr>
        <w:pStyle w:val="ListParagraph"/>
        <w:numPr>
          <w:ilvl w:val="0"/>
          <w:numId w:val="2"/>
        </w:numPr>
        <w:spacing w:before="60" w:after="60"/>
      </w:pPr>
      <w:r>
        <w:rPr>
          <w:rFonts w:ascii="Arial" w:cs="Arial" w:eastAsia="Arial" w:hAnsi="Arial"/>
          <w:color w:val="333333"/>
          <w:sz w:val="20"/>
          <w:szCs w:val="20"/>
        </w:rPr>
        <w:t xml:space="preserve">System access may be role-based and limited to the minimum necessary scope.</w:t>
      </w:r>
    </w:p>
    <w:p>
      <w:pPr>
        <w:pStyle w:val="ListParagraph"/>
        <w:numPr>
          <w:ilvl w:val="0"/>
          <w:numId w:val="2"/>
        </w:numPr>
        <w:spacing w:before="60" w:after="60"/>
      </w:pPr>
      <w:r>
        <w:rPr>
          <w:rFonts w:ascii="Arial" w:cs="Arial" w:eastAsia="Arial" w:hAnsi="Arial"/>
          <w:color w:val="333333"/>
          <w:sz w:val="20"/>
          <w:szCs w:val="20"/>
        </w:rPr>
        <w:t xml:space="preserve">Access to one workflow or application does not imply access to all programs, data, or organizations.</w:t>
      </w:r>
    </w:p>
    <w:p>
      <w:pPr>
        <w:pStyle w:val="ListParagraph"/>
        <w:numPr>
          <w:ilvl w:val="0"/>
          <w:numId w:val="2"/>
        </w:numPr>
        <w:spacing w:before="60" w:after="60"/>
      </w:pPr>
      <w:r>
        <w:rPr>
          <w:rFonts w:ascii="Arial" w:cs="Arial" w:eastAsia="Arial" w:hAnsi="Arial"/>
          <w:color w:val="333333"/>
          <w:sz w:val="20"/>
          <w:szCs w:val="20"/>
        </w:rPr>
        <w:t xml:space="preserve">Shared infrastructure is provided to improve coordination, not to create unrestricted cross-organizational visibility.</w:t>
      </w:r>
    </w:p>
    <w:p>
      <w:pPr>
        <w:pStyle w:val="ListParagraph"/>
        <w:numPr>
          <w:ilvl w:val="0"/>
          <w:numId w:val="2"/>
        </w:numPr>
        <w:spacing w:before="60" w:after="60"/>
      </w:pPr>
      <w:r>
        <w:rPr>
          <w:rFonts w:ascii="Arial" w:cs="Arial" w:eastAsia="Arial" w:hAnsi="Arial"/>
          <w:color w:val="333333"/>
          <w:sz w:val="20"/>
          <w:szCs w:val="20"/>
        </w:rPr>
        <w:t xml:space="preserve">Participants may not scrape, export, repurpose, sell, or misuse shared data except as expressly allowed.</w:t>
      </w:r>
    </w:p>
    <w:p>
      <w:pPr>
        <w:pStyle w:val="ListParagraph"/>
        <w:numPr>
          <w:ilvl w:val="0"/>
          <w:numId w:val="2"/>
        </w:numPr>
        <w:spacing w:before="60" w:after="60"/>
      </w:pPr>
      <w:r>
        <w:rPr>
          <w:rFonts w:ascii="Arial" w:cs="Arial" w:eastAsia="Arial" w:hAnsi="Arial"/>
          <w:color w:val="333333"/>
          <w:sz w:val="20"/>
          <w:szCs w:val="20"/>
        </w:rPr>
        <w:t xml:space="preserve">The Foundation may log, audit, review, and restrict system activity to preserve safety, compliance, and accountability.</w:t>
      </w:r>
    </w:p>
    <w:p>
      <w:pPr>
        <w:spacing w:before="60" w:after="80"/>
        <w:ind w:left="720"/>
      </w:pPr>
      <w:r>
        <w:rPr>
          <w:rFonts w:ascii="Arial" w:cs="Arial" w:eastAsia="Arial" w:hAnsi="Arial"/>
          <w:i/>
          <w:iCs/>
          <w:color w:val="C0392B"/>
          <w:sz w:val="18"/>
          <w:szCs w:val="18"/>
        </w:rPr>
        <w:t xml:space="preserve">⚑ LEGAL REVIEW NOTE: Counsel should determine whether a separate Data Processing Agreement or Platform Terms of Use should be incorporated by reference or executed as a companion document, particularly for VetOS clinical data and LifeLog personal health records.</w:t>
      </w:r>
    </w:p>
    <w:p>
      <w:pPr>
        <w:pBdr>
          <w:bottom w:val="single" w:color="2E6DA4" w:sz="4" w:space="1"/>
        </w:pBdr>
        <w:spacing w:before="160" w:after="160"/>
      </w:pPr>
      <w:r>
        <w:t xml:space="preserve"/>
      </w:r>
    </w:p>
    <w:p>
      <w:pPr>
        <w:pStyle w:val="Heading1"/>
        <w:spacing w:before="320" w:after="160"/>
      </w:pPr>
      <w:r>
        <w:rPr>
          <w:rFonts w:ascii="Arial" w:cs="Arial" w:eastAsia="Arial" w:hAnsi="Arial"/>
          <w:b/>
          <w:bCs/>
          <w:color w:val="1A3A5C"/>
          <w:sz w:val="26"/>
          <w:szCs w:val="26"/>
        </w:rPr>
        <w:t xml:space="preserve">8. Branding and Public Representation</w:t>
      </w:r>
    </w:p>
    <w:p>
      <w:pPr>
        <w:pStyle w:val="ListParagraph"/>
        <w:numPr>
          <w:ilvl w:val="0"/>
          <w:numId w:val="2"/>
        </w:numPr>
        <w:spacing w:before="60" w:after="60"/>
      </w:pPr>
      <w:r>
        <w:rPr>
          <w:rFonts w:ascii="Arial" w:cs="Arial" w:eastAsia="Arial" w:hAnsi="Arial"/>
          <w:color w:val="333333"/>
          <w:sz w:val="20"/>
          <w:szCs w:val="20"/>
        </w:rPr>
        <w:t xml:space="preserve">Participants may not present themselves as the owner of the Pact, the Foundation, or the PROVENIQ System.</w:t>
      </w:r>
    </w:p>
    <w:p>
      <w:pPr>
        <w:pStyle w:val="ListParagraph"/>
        <w:numPr>
          <w:ilvl w:val="0"/>
          <w:numId w:val="2"/>
        </w:numPr>
        <w:spacing w:before="60" w:after="60"/>
      </w:pPr>
      <w:r>
        <w:rPr>
          <w:rFonts w:ascii="Arial" w:cs="Arial" w:eastAsia="Arial" w:hAnsi="Arial"/>
          <w:color w:val="333333"/>
          <w:sz w:val="20"/>
          <w:szCs w:val="20"/>
        </w:rPr>
        <w:t xml:space="preserve">Participation does not authorize false claims of endorsement, certification, exclusivity, or legal authority beyond what the Foundation expressly states in writing.</w:t>
      </w:r>
    </w:p>
    <w:p>
      <w:pPr>
        <w:pStyle w:val="ListParagraph"/>
        <w:numPr>
          <w:ilvl w:val="0"/>
          <w:numId w:val="2"/>
        </w:numPr>
        <w:spacing w:before="60" w:after="60"/>
      </w:pPr>
      <w:r>
        <w:rPr>
          <w:rFonts w:ascii="Arial" w:cs="Arial" w:eastAsia="Arial" w:hAnsi="Arial"/>
          <w:color w:val="333333"/>
          <w:sz w:val="20"/>
          <w:szCs w:val="20"/>
        </w:rPr>
        <w:t xml:space="preserve">Use of the PAW Pact name, marks, logos, or public-facing membership language may be conditioned, limited, suspended, or revoked by PROVENIQ Foundation.</w:t>
      </w:r>
    </w:p>
    <w:p>
      <w:pPr>
        <w:pStyle w:val="ListParagraph"/>
        <w:numPr>
          <w:ilvl w:val="0"/>
          <w:numId w:val="2"/>
        </w:numPr>
        <w:spacing w:before="60" w:after="60"/>
      </w:pPr>
      <w:r>
        <w:rPr>
          <w:rFonts w:ascii="Arial" w:cs="Arial" w:eastAsia="Arial" w:hAnsi="Arial"/>
          <w:color w:val="333333"/>
          <w:sz w:val="20"/>
          <w:szCs w:val="20"/>
        </w:rPr>
        <w:t xml:space="preserve">The Foundation may define categories such as Explorer, Participant, Operating Partner, or Founding Partner, and may control how such designations are displayed publicly.</w:t>
      </w:r>
    </w:p>
    <w:p>
      <w:pPr>
        <w:pBdr>
          <w:bottom w:val="single" w:color="2E6DA4" w:sz="4" w:space="1"/>
        </w:pBdr>
        <w:spacing w:before="160" w:after="160"/>
      </w:pPr>
      <w:r>
        <w:t xml:space="preserve"/>
      </w:r>
    </w:p>
    <w:p>
      <w:pPr>
        <w:pStyle w:val="Heading1"/>
        <w:spacing w:before="320" w:after="160"/>
      </w:pPr>
      <w:r>
        <w:rPr>
          <w:rFonts w:ascii="Arial" w:cs="Arial" w:eastAsia="Arial" w:hAnsi="Arial"/>
          <w:b/>
          <w:bCs/>
          <w:color w:val="1A3A5C"/>
          <w:sz w:val="26"/>
          <w:szCs w:val="26"/>
        </w:rPr>
        <w:t xml:space="preserve">9. No Override of Law or Local Duty</w:t>
      </w:r>
    </w:p>
    <w:p>
      <w:pPr>
        <w:spacing w:before="80" w:after="100"/>
      </w:pPr>
      <w:r>
        <w:rPr>
          <w:rFonts w:ascii="Arial" w:cs="Arial" w:eastAsia="Arial" w:hAnsi="Arial"/>
          <w:color w:val="333333"/>
          <w:sz w:val="20"/>
          <w:szCs w:val="20"/>
        </w:rPr>
        <w:t xml:space="preserve">Nothing in this Agreement authorizes a participant to ignore applicable law, exceed legal authority, conceal cruelty or abuse, bypass due process, interfere with regulated duties, or act outside the lawful scope of its own organizational role. Where legal duties conflict with informal expectations created by this Agreement, applicable law and formal obligations control.</w:t>
      </w:r>
    </w:p>
    <w:p>
      <w:pPr>
        <w:pBdr>
          <w:bottom w:val="single" w:color="2E6DA4" w:sz="4" w:space="1"/>
        </w:pBdr>
        <w:spacing w:before="160" w:after="160"/>
      </w:pPr>
      <w:r>
        <w:t xml:space="preserve"/>
      </w:r>
    </w:p>
    <w:p>
      <w:pPr>
        <w:pStyle w:val="Heading1"/>
        <w:spacing w:before="320" w:after="160"/>
      </w:pPr>
      <w:r>
        <w:rPr>
          <w:rFonts w:ascii="Arial" w:cs="Arial" w:eastAsia="Arial" w:hAnsi="Arial"/>
          <w:b/>
          <w:bCs/>
          <w:color w:val="1A3A5C"/>
          <w:sz w:val="26"/>
          <w:szCs w:val="26"/>
        </w:rPr>
        <w:t xml:space="preserve">10. Confidentiality and Sensitive Information</w:t>
      </w:r>
    </w:p>
    <w:p>
      <w:pPr>
        <w:spacing w:before="80" w:after="100"/>
      </w:pPr>
      <w:r>
        <w:rPr>
          <w:rFonts w:ascii="Arial" w:cs="Arial" w:eastAsia="Arial" w:hAnsi="Arial"/>
          <w:color w:val="333333"/>
          <w:sz w:val="20"/>
          <w:szCs w:val="20"/>
        </w:rPr>
        <w:t xml:space="preserve">Participants must handle sensitive, personal, investigative, clinical, or security-related information with appropriate care and in accordance with applicable law, contract, policy, and role-based permissions. Additional confidentiality or data processing terms may be required for certain workflows or participant categories.</w:t>
      </w:r>
    </w:p>
    <w:p>
      <w:pPr>
        <w:pBdr>
          <w:bottom w:val="single" w:color="2E6DA4" w:sz="4" w:space="1"/>
        </w:pBdr>
        <w:spacing w:before="160" w:after="160"/>
      </w:pPr>
      <w:r>
        <w:t xml:space="preserve"/>
      </w:r>
    </w:p>
    <w:p>
      <w:pPr>
        <w:pStyle w:val="Heading1"/>
        <w:spacing w:before="320" w:after="160"/>
      </w:pPr>
      <w:r>
        <w:rPr>
          <w:rFonts w:ascii="Arial" w:cs="Arial" w:eastAsia="Arial" w:hAnsi="Arial"/>
          <w:b/>
          <w:bCs/>
          <w:color w:val="1A3A5C"/>
          <w:sz w:val="26"/>
          <w:szCs w:val="26"/>
        </w:rPr>
        <w:t xml:space="preserve">11. Referrals, Handoffs, and Independence of Judgment</w:t>
      </w:r>
    </w:p>
    <w:p>
      <w:pPr>
        <w:spacing w:before="80" w:after="100"/>
      </w:pPr>
      <w:r>
        <w:rPr>
          <w:rFonts w:ascii="Arial" w:cs="Arial" w:eastAsia="Arial" w:hAnsi="Arial"/>
          <w:color w:val="333333"/>
          <w:sz w:val="20"/>
          <w:szCs w:val="20"/>
        </w:rPr>
        <w:t xml:space="preserve">The Pact may facilitate referrals, handoffs, and coordination opportunities, but each participant remains responsible for its own intake decisions, case acceptance, clinical judgment, enforcement judgment, transport choices, placements, and resource commitments unless a separate written agreement states otherwise.</w:t>
      </w:r>
    </w:p>
    <w:p>
      <w:pPr>
        <w:pBdr>
          <w:bottom w:val="single" w:color="2E6DA4" w:sz="4" w:space="1"/>
        </w:pBdr>
        <w:spacing w:before="160" w:after="160"/>
      </w:pPr>
      <w:r>
        <w:t xml:space="preserve"/>
      </w:r>
    </w:p>
    <w:p>
      <w:pPr>
        <w:pStyle w:val="Heading1"/>
        <w:spacing w:before="320" w:after="160"/>
      </w:pPr>
      <w:r>
        <w:rPr>
          <w:rFonts w:ascii="Arial" w:cs="Arial" w:eastAsia="Arial" w:hAnsi="Arial"/>
          <w:b/>
          <w:bCs/>
          <w:color w:val="1A3A5C"/>
          <w:sz w:val="26"/>
          <w:szCs w:val="26"/>
        </w:rPr>
        <w:t xml:space="preserve">12. Relationship to Policy Advocacy</w:t>
      </w:r>
    </w:p>
    <w:p>
      <w:pPr>
        <w:spacing w:before="80" w:after="100"/>
      </w:pPr>
      <w:r>
        <w:rPr>
          <w:rFonts w:ascii="Arial" w:cs="Arial" w:eastAsia="Arial" w:hAnsi="Arial"/>
          <w:color w:val="333333"/>
          <w:sz w:val="20"/>
          <w:szCs w:val="20"/>
        </w:rPr>
        <w:t xml:space="preserve">The PAW Pact may exist alongside legislative and policy efforts, including the BARK Act and the FETCH Act. Unless expressly stated in a separate written document, participation in the PAW Pact does not by itself constitute formal endorsement of any specific bill, campaign, or lobbying position.</w:t>
      </w:r>
    </w:p>
    <w:p>
      <w:pPr>
        <w:pBdr>
          <w:bottom w:val="single" w:color="2E6DA4" w:sz="4" w:space="1"/>
        </w:pBdr>
        <w:spacing w:before="160" w:after="160"/>
      </w:pPr>
      <w:r>
        <w:t xml:space="preserve"/>
      </w:r>
    </w:p>
    <w:p>
      <w:pPr>
        <w:pStyle w:val="Heading1"/>
        <w:spacing w:before="320" w:after="160"/>
      </w:pPr>
      <w:r>
        <w:rPr>
          <w:rFonts w:ascii="Arial" w:cs="Arial" w:eastAsia="Arial" w:hAnsi="Arial"/>
          <w:b/>
          <w:bCs/>
          <w:color w:val="1A3A5C"/>
          <w:sz w:val="26"/>
          <w:szCs w:val="26"/>
        </w:rPr>
        <w:t xml:space="preserve">13. Reserved Authority and Guardrail Enforcement</w:t>
      </w:r>
    </w:p>
    <w:p>
      <w:pPr>
        <w:pStyle w:val="ListParagraph"/>
        <w:numPr>
          <w:ilvl w:val="0"/>
          <w:numId w:val="2"/>
        </w:numPr>
        <w:spacing w:before="60" w:after="60"/>
      </w:pPr>
      <w:r>
        <w:rPr>
          <w:rFonts w:ascii="Arial" w:cs="Arial" w:eastAsia="Arial" w:hAnsi="Arial"/>
          <w:color w:val="333333"/>
          <w:sz w:val="20"/>
          <w:szCs w:val="20"/>
        </w:rPr>
        <w:t xml:space="preserve">PROVENIQ Foundation may approve, deny, condition, suspend, or terminate participation in its discretion where needed to protect animals, users, communities, network integrity, legal compliance, or mission alignment.</w:t>
      </w:r>
    </w:p>
    <w:p>
      <w:pPr>
        <w:pStyle w:val="ListParagraph"/>
        <w:numPr>
          <w:ilvl w:val="0"/>
          <w:numId w:val="2"/>
        </w:numPr>
        <w:spacing w:before="60" w:after="60"/>
      </w:pPr>
      <w:r>
        <w:rPr>
          <w:rFonts w:ascii="Arial" w:cs="Arial" w:eastAsia="Arial" w:hAnsi="Arial"/>
          <w:color w:val="333333"/>
          <w:sz w:val="20"/>
          <w:szCs w:val="20"/>
        </w:rPr>
        <w:t xml:space="preserve">PROVENIQ Foundation may require additional documentation, representations, training, acknowledgments, or policy acceptance before granting or maintaining access to specific systems, workflows, or network privileges.</w:t>
      </w:r>
    </w:p>
    <w:p>
      <w:pPr>
        <w:pStyle w:val="ListParagraph"/>
        <w:numPr>
          <w:ilvl w:val="0"/>
          <w:numId w:val="2"/>
        </w:numPr>
        <w:spacing w:before="60" w:after="60"/>
      </w:pPr>
      <w:r>
        <w:rPr>
          <w:rFonts w:ascii="Arial" w:cs="Arial" w:eastAsia="Arial" w:hAnsi="Arial"/>
          <w:color w:val="333333"/>
          <w:sz w:val="20"/>
          <w:szCs w:val="20"/>
        </w:rPr>
        <w:t xml:space="preserve">Participation may be limited by role, geography, workflow, technical readiness, compliance status, or program phase.</w:t>
      </w:r>
    </w:p>
    <w:p>
      <w:pPr>
        <w:pStyle w:val="ListParagraph"/>
        <w:numPr>
          <w:ilvl w:val="0"/>
          <w:numId w:val="2"/>
        </w:numPr>
        <w:spacing w:before="60" w:after="60"/>
      </w:pPr>
      <w:r>
        <w:rPr>
          <w:rFonts w:ascii="Arial" w:cs="Arial" w:eastAsia="Arial" w:hAnsi="Arial"/>
          <w:color w:val="333333"/>
          <w:sz w:val="20"/>
          <w:szCs w:val="20"/>
        </w:rPr>
        <w:t xml:space="preserve">Nothing in this Pact requires PROVENIQ Foundation to onboard every applicant or continue participation indefinitely.</w:t>
      </w:r>
    </w:p>
    <w:p>
      <w:pPr>
        <w:spacing w:before="60" w:after="80"/>
        <w:ind w:left="720"/>
      </w:pPr>
      <w:r>
        <w:rPr>
          <w:rFonts w:ascii="Arial" w:cs="Arial" w:eastAsia="Arial" w:hAnsi="Arial"/>
          <w:i/>
          <w:iCs/>
          <w:color w:val="C0392B"/>
          <w:sz w:val="18"/>
          <w:szCs w:val="18"/>
        </w:rPr>
        <w:t xml:space="preserve">⚑ LEGAL REVIEW NOTE: Counsel should review whether the Foundation's unilateral suspension/removal discretion requires a minimum notice period or an opportunity-to-cure provision for non-safety violations to reduce legal exposure.</w:t>
      </w:r>
    </w:p>
    <w:p>
      <w:pPr>
        <w:pBdr>
          <w:bottom w:val="single" w:color="2E6DA4" w:sz="4" w:space="1"/>
        </w:pBdr>
        <w:spacing w:before="160" w:after="160"/>
      </w:pPr>
      <w:r>
        <w:t xml:space="preserve"/>
      </w:r>
    </w:p>
    <w:p>
      <w:pPr>
        <w:pStyle w:val="Heading1"/>
        <w:spacing w:before="320" w:after="160"/>
      </w:pPr>
      <w:r>
        <w:rPr>
          <w:rFonts w:ascii="Arial" w:cs="Arial" w:eastAsia="Arial" w:hAnsi="Arial"/>
          <w:b/>
          <w:bCs/>
          <w:color w:val="1A3A5C"/>
          <w:sz w:val="26"/>
          <w:szCs w:val="26"/>
        </w:rPr>
        <w:t xml:space="preserve">14. Corrective Action, Suspension, and Removal</w:t>
      </w:r>
    </w:p>
    <w:p>
      <w:pPr>
        <w:pStyle w:val="ListParagraph"/>
        <w:numPr>
          <w:ilvl w:val="0"/>
          <w:numId w:val="2"/>
        </w:numPr>
        <w:spacing w:before="60" w:after="60"/>
      </w:pPr>
      <w:r>
        <w:rPr>
          <w:rFonts w:ascii="Arial" w:cs="Arial" w:eastAsia="Arial" w:hAnsi="Arial"/>
          <w:color w:val="333333"/>
          <w:sz w:val="20"/>
          <w:szCs w:val="20"/>
        </w:rPr>
        <w:t xml:space="preserve">Where appropriate and not precluded by safety concerns, PROVENIQ may issue written notice of concern and provide a reasonable opportunity to cure before suspension or removal.</w:t>
      </w:r>
    </w:p>
    <w:p>
      <w:pPr>
        <w:pStyle w:val="ListParagraph"/>
        <w:numPr>
          <w:ilvl w:val="0"/>
          <w:numId w:val="2"/>
        </w:numPr>
        <w:spacing w:before="60" w:after="60"/>
      </w:pPr>
      <w:r>
        <w:rPr>
          <w:rFonts w:ascii="Arial" w:cs="Arial" w:eastAsia="Arial" w:hAnsi="Arial"/>
          <w:color w:val="333333"/>
          <w:sz w:val="20"/>
          <w:szCs w:val="20"/>
        </w:rPr>
        <w:t xml:space="preserve">For serious, imminent, or repeated violations, PROVENIQ may immediately suspend access, remove affiliations, revoke public listing, or terminate participation.</w:t>
      </w:r>
    </w:p>
    <w:p>
      <w:pPr>
        <w:pStyle w:val="ListParagraph"/>
        <w:numPr>
          <w:ilvl w:val="0"/>
          <w:numId w:val="2"/>
        </w:numPr>
        <w:spacing w:before="60" w:after="60"/>
      </w:pPr>
      <w:r>
        <w:rPr>
          <w:rFonts w:ascii="Arial" w:cs="Arial" w:eastAsia="Arial" w:hAnsi="Arial"/>
          <w:color w:val="333333"/>
          <w:sz w:val="20"/>
          <w:szCs w:val="20"/>
        </w:rPr>
        <w:t xml:space="preserve">Suspension or termination may include removal of logos, access credentials, directory listings, workflows, and any public-facing coalition representations.</w:t>
      </w:r>
    </w:p>
    <w:p>
      <w:pPr>
        <w:pStyle w:val="ListParagraph"/>
        <w:numPr>
          <w:ilvl w:val="0"/>
          <w:numId w:val="2"/>
        </w:numPr>
        <w:spacing w:before="60" w:after="60"/>
      </w:pPr>
      <w:r>
        <w:rPr>
          <w:rFonts w:ascii="Arial" w:cs="Arial" w:eastAsia="Arial" w:hAnsi="Arial"/>
          <w:color w:val="333333"/>
          <w:sz w:val="20"/>
          <w:szCs w:val="20"/>
        </w:rPr>
        <w:t xml:space="preserve">Termination of participation does not transfer or waive any independent legal rights or obligations between parties.</w:t>
      </w:r>
    </w:p>
    <w:p>
      <w:pPr>
        <w:pBdr>
          <w:bottom w:val="single" w:color="2E6DA4" w:sz="4" w:space="1"/>
        </w:pBdr>
        <w:spacing w:before="160" w:after="160"/>
      </w:pPr>
      <w:r>
        <w:t xml:space="preserve"/>
      </w:r>
    </w:p>
    <w:p>
      <w:pPr>
        <w:pStyle w:val="Heading1"/>
        <w:spacing w:before="320" w:after="160"/>
      </w:pPr>
      <w:r>
        <w:rPr>
          <w:rFonts w:ascii="Arial" w:cs="Arial" w:eastAsia="Arial" w:hAnsi="Arial"/>
          <w:b/>
          <w:bCs/>
          <w:color w:val="1A3A5C"/>
          <w:sz w:val="26"/>
          <w:szCs w:val="26"/>
        </w:rPr>
        <w:t xml:space="preserve">15. Term, Withdrawal, and Renewal</w:t>
      </w:r>
    </w:p>
    <w:p>
      <w:pPr>
        <w:pStyle w:val="ListParagraph"/>
        <w:numPr>
          <w:ilvl w:val="0"/>
          <w:numId w:val="2"/>
        </w:numPr>
        <w:spacing w:before="60" w:after="60"/>
      </w:pPr>
      <w:r>
        <w:rPr>
          <w:rFonts w:ascii="Arial" w:cs="Arial" w:eastAsia="Arial" w:hAnsi="Arial"/>
          <w:color w:val="333333"/>
          <w:sz w:val="20"/>
          <w:szCs w:val="20"/>
        </w:rPr>
        <w:t xml:space="preserve">Participation begins only after approval by PROVENIQ Foundation and any required acknowledgments, onboarding steps, or technical setup are completed.</w:t>
      </w:r>
    </w:p>
    <w:p>
      <w:pPr>
        <w:pStyle w:val="ListParagraph"/>
        <w:numPr>
          <w:ilvl w:val="0"/>
          <w:numId w:val="2"/>
        </w:numPr>
        <w:spacing w:before="60" w:after="60"/>
      </w:pPr>
      <w:r>
        <w:rPr>
          <w:rFonts w:ascii="Arial" w:cs="Arial" w:eastAsia="Arial" w:hAnsi="Arial"/>
          <w:color w:val="333333"/>
          <w:sz w:val="20"/>
          <w:szCs w:val="20"/>
        </w:rPr>
        <w:t xml:space="preserve">A participant may withdraw by written notice to PROVENIQ Foundation, subject to any obligations that survive by their nature, including confidentiality, data-handling, and outstanding platform terms.</w:t>
      </w:r>
    </w:p>
    <w:p>
      <w:pPr>
        <w:pStyle w:val="ListParagraph"/>
        <w:numPr>
          <w:ilvl w:val="0"/>
          <w:numId w:val="2"/>
        </w:numPr>
        <w:spacing w:before="60" w:after="60"/>
      </w:pPr>
      <w:r>
        <w:rPr>
          <w:rFonts w:ascii="Arial" w:cs="Arial" w:eastAsia="Arial" w:hAnsi="Arial"/>
          <w:color w:val="333333"/>
          <w:sz w:val="20"/>
          <w:szCs w:val="20"/>
        </w:rPr>
        <w:t xml:space="preserve">The Foundation may update Pact policies, operational standards, and participation rules over time. Material changes will be communicated with reasonable advance notice appropriate to the scope of change. Continued participation following such notice may constitute acceptance to the extent permitted by law and policy.</w:t>
      </w:r>
    </w:p>
    <w:p>
      <w:pPr>
        <w:pStyle w:val="ListParagraph"/>
        <w:numPr>
          <w:ilvl w:val="0"/>
          <w:numId w:val="2"/>
        </w:numPr>
        <w:spacing w:before="60" w:after="60"/>
      </w:pPr>
      <w:r>
        <w:rPr>
          <w:rFonts w:ascii="Arial" w:cs="Arial" w:eastAsia="Arial" w:hAnsi="Arial"/>
          <w:color w:val="333333"/>
          <w:sz w:val="20"/>
          <w:szCs w:val="20"/>
        </w:rPr>
        <w:t xml:space="preserve">The Foundation may establish an annual participation review cycle and may require renewed acknowledgment on a schedule it publishes.</w:t>
      </w:r>
    </w:p>
    <w:p>
      <w:pPr>
        <w:spacing w:before="60" w:after="80"/>
        <w:ind w:left="720"/>
      </w:pPr>
      <w:r>
        <w:rPr>
          <w:rFonts w:ascii="Arial" w:cs="Arial" w:eastAsia="Arial" w:hAnsi="Arial"/>
          <w:i/>
          <w:iCs/>
          <w:color w:val="C0392B"/>
          <w:sz w:val="18"/>
          <w:szCs w:val="18"/>
        </w:rPr>
        <w:t xml:space="preserve">⚑ LEGAL REVIEW NOTE: Counsel should define what constitutes 'material change' and whether this triggers a formal re-execution requirement or written acknowledgment within a specific window.</w:t>
      </w:r>
    </w:p>
    <w:p>
      <w:pPr>
        <w:pBdr>
          <w:bottom w:val="single" w:color="2E6DA4" w:sz="4" w:space="1"/>
        </w:pBdr>
        <w:spacing w:before="160" w:after="160"/>
      </w:pPr>
      <w:r>
        <w:t xml:space="preserve"/>
      </w:r>
    </w:p>
    <w:p>
      <w:pPr>
        <w:pStyle w:val="Heading1"/>
        <w:spacing w:before="320" w:after="160"/>
      </w:pPr>
      <w:r>
        <w:rPr>
          <w:rFonts w:ascii="Arial" w:cs="Arial" w:eastAsia="Arial" w:hAnsi="Arial"/>
          <w:b/>
          <w:bCs/>
          <w:color w:val="1A3A5C"/>
          <w:sz w:val="26"/>
          <w:szCs w:val="26"/>
        </w:rPr>
        <w:t xml:space="preserve">16. Notices</w:t>
      </w:r>
    </w:p>
    <w:p>
      <w:pPr>
        <w:spacing w:before="80" w:after="100"/>
      </w:pPr>
      <w:r>
        <w:rPr>
          <w:rFonts w:ascii="Arial" w:cs="Arial" w:eastAsia="Arial" w:hAnsi="Arial"/>
          <w:color w:val="333333"/>
          <w:sz w:val="20"/>
          <w:szCs w:val="20"/>
        </w:rPr>
        <w:t xml:space="preserve">Any written notice required or permitted under this Agreement shall be delivered to PROVENIQ Foundation at its registered address in Greenbrier County, West Virginia, or via the email address designated on the Foundation's official website at pro-found.org. Notice to a participant shall be sent to the contact information provided in the participant's most recent Pact acknowledgment or onboarding record.</w:t>
      </w:r>
    </w:p>
    <w:p>
      <w:pPr>
        <w:spacing w:before="60" w:after="80"/>
        <w:ind w:left="720"/>
      </w:pPr>
      <w:r>
        <w:rPr>
          <w:rFonts w:ascii="Arial" w:cs="Arial" w:eastAsia="Arial" w:hAnsi="Arial"/>
          <w:i/>
          <w:iCs/>
          <w:color w:val="C0392B"/>
          <w:sz w:val="18"/>
          <w:szCs w:val="18"/>
        </w:rPr>
        <w:t xml:space="preserve">⚑ LEGAL REVIEW NOTE: Counsel should specify acceptable delivery methods (email, certified mail, etc.) and the date on which notice is deemed effective.</w:t>
      </w:r>
    </w:p>
    <w:p>
      <w:pPr>
        <w:pBdr>
          <w:bottom w:val="single" w:color="2E6DA4" w:sz="4" w:space="1"/>
        </w:pBdr>
        <w:spacing w:before="160" w:after="160"/>
      </w:pPr>
      <w:r>
        <w:t xml:space="preserve"/>
      </w:r>
    </w:p>
    <w:p>
      <w:pPr>
        <w:pStyle w:val="Heading1"/>
        <w:spacing w:before="320" w:after="160"/>
      </w:pPr>
      <w:r>
        <w:rPr>
          <w:rFonts w:ascii="Arial" w:cs="Arial" w:eastAsia="Arial" w:hAnsi="Arial"/>
          <w:b/>
          <w:bCs/>
          <w:color w:val="1A3A5C"/>
          <w:sz w:val="26"/>
          <w:szCs w:val="26"/>
        </w:rPr>
        <w:t xml:space="preserve">17. Governing Law</w:t>
      </w:r>
    </w:p>
    <w:p>
      <w:pPr>
        <w:spacing w:before="80" w:after="100"/>
      </w:pPr>
      <w:r>
        <w:rPr>
          <w:rFonts w:ascii="Arial" w:cs="Arial" w:eastAsia="Arial" w:hAnsi="Arial"/>
          <w:color w:val="333333"/>
          <w:sz w:val="20"/>
          <w:szCs w:val="20"/>
        </w:rPr>
        <w:t xml:space="preserve">This Agreement shall be governed by and construed in accordance with the laws of the State of West Virginia, without regard to its conflict of law provisions. Participants operating under distinct state or federal regulatory frameworks retain all obligations imposed by those frameworks, which are not displaced by this Agreement.</w:t>
      </w:r>
    </w:p>
    <w:p>
      <w:pPr>
        <w:pBdr>
          <w:bottom w:val="single" w:color="2E6DA4" w:sz="4" w:space="1"/>
        </w:pBdr>
        <w:spacing w:before="160" w:after="160"/>
      </w:pPr>
      <w:r>
        <w:t xml:space="preserve"/>
      </w:r>
    </w:p>
    <w:p>
      <w:pPr>
        <w:pStyle w:val="Heading1"/>
        <w:spacing w:before="320" w:after="160"/>
      </w:pPr>
      <w:r>
        <w:rPr>
          <w:rFonts w:ascii="Arial" w:cs="Arial" w:eastAsia="Arial" w:hAnsi="Arial"/>
          <w:b/>
          <w:bCs/>
          <w:color w:val="1A3A5C"/>
          <w:sz w:val="26"/>
          <w:szCs w:val="26"/>
        </w:rPr>
        <w:t xml:space="preserve">18. Limitation of Liability and Disclaimer</w:t>
      </w:r>
    </w:p>
    <w:p>
      <w:pPr>
        <w:spacing w:before="80" w:after="100"/>
      </w:pPr>
      <w:r>
        <w:rPr>
          <w:rFonts w:ascii="Arial" w:cs="Arial" w:eastAsia="Arial" w:hAnsi="Arial"/>
          <w:color w:val="333333"/>
          <w:sz w:val="20"/>
          <w:szCs w:val="20"/>
        </w:rPr>
        <w:t xml:space="preserve">PROVENIQ Foundation provides shared infrastructure and coordination tools on an as-is basis. To the fullest extent permitted by applicable law, the Foundation makes no warranties, express or implied, regarding uninterrupted availability, fitness for a particular purpose, or specific outcomes for animals or organizations. The Foundation's aggregate liability arising from participation shall not exceed the amounts, if any, paid by the participant to the Foundation in the twelve months preceding the claim.</w:t>
      </w:r>
    </w:p>
    <w:p>
      <w:pPr>
        <w:spacing w:before="60" w:after="80"/>
        <w:ind w:left="720"/>
      </w:pPr>
      <w:r>
        <w:rPr>
          <w:rFonts w:ascii="Arial" w:cs="Arial" w:eastAsia="Arial" w:hAnsi="Arial"/>
          <w:i/>
          <w:iCs/>
          <w:color w:val="C0392B"/>
          <w:sz w:val="18"/>
          <w:szCs w:val="18"/>
        </w:rPr>
        <w:t xml:space="preserve">⚑ LEGAL REVIEW NOTE: Counsel should confirm that WV nonprofit law permits this limitation of liability and advise on appropriate carve-outs for gross negligence or intentional misconduct.</w:t>
      </w:r>
    </w:p>
    <w:p>
      <w:pPr>
        <w:pBdr>
          <w:bottom w:val="single" w:color="2E6DA4" w:sz="4" w:space="1"/>
        </w:pBdr>
        <w:spacing w:before="160" w:after="160"/>
      </w:pPr>
      <w:r>
        <w:t xml:space="preserve"/>
      </w:r>
    </w:p>
    <w:p>
      <w:pPr>
        <w:pStyle w:val="Heading1"/>
        <w:spacing w:before="320" w:after="160"/>
      </w:pPr>
      <w:r>
        <w:rPr>
          <w:rFonts w:ascii="Arial" w:cs="Arial" w:eastAsia="Arial" w:hAnsi="Arial"/>
          <w:b/>
          <w:bCs/>
          <w:color w:val="1A3A5C"/>
          <w:sz w:val="26"/>
          <w:szCs w:val="26"/>
        </w:rPr>
        <w:t xml:space="preserve">19. Severability</w:t>
      </w:r>
    </w:p>
    <w:p>
      <w:pPr>
        <w:spacing w:before="80" w:after="100"/>
      </w:pPr>
      <w:r>
        <w:rPr>
          <w:rFonts w:ascii="Arial" w:cs="Arial" w:eastAsia="Arial" w:hAnsi="Arial"/>
          <w:color w:val="333333"/>
          <w:sz w:val="20"/>
          <w:szCs w:val="20"/>
        </w:rPr>
        <w:t xml:space="preserve">If any provision of this Agreement is held to be invalid, unenforceable, or contrary to applicable law, that provision shall be modified to the minimum extent necessary to make it enforceable, or severed if modification is not possible, without affecting the validity or enforceability of the remaining provisions.</w:t>
      </w:r>
    </w:p>
    <w:p>
      <w:pPr>
        <w:pBdr>
          <w:bottom w:val="single" w:color="2E6DA4" w:sz="4" w:space="1"/>
        </w:pBdr>
        <w:spacing w:before="160" w:after="160"/>
      </w:pPr>
      <w:r>
        <w:t xml:space="preserve"/>
      </w:r>
    </w:p>
    <w:p>
      <w:pPr>
        <w:pStyle w:val="Heading1"/>
        <w:spacing w:before="320" w:after="160"/>
      </w:pPr>
      <w:r>
        <w:rPr>
          <w:rFonts w:ascii="Arial" w:cs="Arial" w:eastAsia="Arial" w:hAnsi="Arial"/>
          <w:b/>
          <w:bCs/>
          <w:color w:val="1A3A5C"/>
          <w:sz w:val="26"/>
          <w:szCs w:val="26"/>
        </w:rPr>
        <w:t xml:space="preserve">20. Entire Agreement</w:t>
      </w:r>
    </w:p>
    <w:p>
      <w:pPr>
        <w:spacing w:before="80" w:after="100"/>
      </w:pPr>
      <w:r>
        <w:rPr>
          <w:rFonts w:ascii="Arial" w:cs="Arial" w:eastAsia="Arial" w:hAnsi="Arial"/>
          <w:color w:val="333333"/>
          <w:sz w:val="20"/>
          <w:szCs w:val="20"/>
        </w:rPr>
        <w:t xml:space="preserve">This Agreement, together with any appendices, platform-specific terms, or companion documents incorporated by reference, constitutes the entire agreement between PROVENIQ Foundation and the participant with respect to coalition participation and supersedes all prior drafts, representations, and understandings on the same subject. No amendment to this Agreement shall be effective unless made in writing and acknowledged by both parties.</w:t>
      </w:r>
    </w:p>
    <w:p>
      <w:pPr>
        <w:pBdr>
          <w:bottom w:val="single" w:color="2E6DA4" w:sz="4" w:space="1"/>
        </w:pBdr>
        <w:spacing w:before="160" w:after="160"/>
      </w:pPr>
      <w:r>
        <w:t xml:space="preserve"/>
      </w:r>
    </w:p>
    <w:p>
      <w:pPr>
        <w:pStyle w:val="Heading1"/>
        <w:spacing w:before="320" w:after="160"/>
      </w:pPr>
      <w:r>
        <w:rPr>
          <w:rFonts w:ascii="Arial" w:cs="Arial" w:eastAsia="Arial" w:hAnsi="Arial"/>
          <w:b/>
          <w:bCs/>
          <w:color w:val="1A3A5C"/>
          <w:sz w:val="26"/>
          <w:szCs w:val="26"/>
        </w:rPr>
        <w:t xml:space="preserve">21. Execution Block</w:t>
      </w:r>
    </w:p>
    <w:p>
      <w:pPr>
        <w:spacing w:before="80" w:after="100"/>
      </w:pPr>
      <w:r>
        <w:rPr>
          <w:rFonts w:ascii="Arial" w:cs="Arial" w:eastAsia="Arial" w:hAnsi="Arial"/>
          <w:color w:val="333333"/>
          <w:sz w:val="20"/>
          <w:szCs w:val="20"/>
        </w:rPr>
        <w:t xml:space="preserve">By signing below, the authorized representative of the participating organization acknowledges that they have read, understand, and agree to the terms of this PROVENIQ Animal Welfare (PAW) Pact Agreement on behalf of their organization.</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rHeight w:val="600" w:hRule="exact"/>
        </w:trP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3A5C"/>
                <w:sz w:val="18"/>
                <w:szCs w:val="18"/>
              </w:rPr>
              <w:t xml:space="preserve">Organization Name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w:r>
          </w:p>
        </w:tc>
      </w:tr>
      <w:tr>
        <w:trPr>
          <w:trHeight w:val="600" w:hRule="exact"/>
        </w:trP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3A5C"/>
                <w:sz w:val="18"/>
                <w:szCs w:val="18"/>
              </w:rPr>
              <w:t xml:space="preserve">Authorized Representative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w:r>
          </w:p>
        </w:tc>
      </w:tr>
      <w:tr>
        <w:trPr>
          <w:trHeight w:val="600" w:hRule="exact"/>
        </w:trP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3A5C"/>
                <w:sz w:val="18"/>
                <w:szCs w:val="18"/>
              </w:rPr>
              <w:t xml:space="preserve">Title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w:r>
          </w:p>
        </w:tc>
      </w:tr>
      <w:tr>
        <w:trPr>
          <w:trHeight w:val="600" w:hRule="exact"/>
        </w:trP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3A5C"/>
                <w:sz w:val="18"/>
                <w:szCs w:val="18"/>
              </w:rPr>
              <w:t xml:space="preserve">Email</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w:r>
          </w:p>
        </w:tc>
      </w:tr>
      <w:tr>
        <w:trPr>
          <w:trHeight w:val="600" w:hRule="exact"/>
        </w:trP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3A5C"/>
                <w:sz w:val="18"/>
                <w:szCs w:val="18"/>
              </w:rPr>
              <w:t xml:space="preserve">Phone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w:r>
          </w:p>
        </w:tc>
      </w:tr>
      <w:tr>
        <w:trPr>
          <w:trHeight w:val="600" w:hRule="exact"/>
        </w:trP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3A5C"/>
                <w:sz w:val="18"/>
                <w:szCs w:val="18"/>
              </w:rPr>
              <w:t xml:space="preserve">Participation Tier Requested</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w:r>
          </w:p>
        </w:tc>
      </w:tr>
      <w:tr>
        <w:trPr>
          <w:trHeight w:val="600" w:hRule="exact"/>
        </w:trP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3A5C"/>
                <w:sz w:val="18"/>
                <w:szCs w:val="18"/>
              </w:rPr>
              <w:t xml:space="preserve">Signature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w:r>
          </w:p>
        </w:tc>
      </w:tr>
      <w:tr>
        <w:trPr>
          <w:trHeight w:val="600" w:hRule="exact"/>
        </w:trP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3A5C"/>
                <w:sz w:val="18"/>
                <w:szCs w:val="18"/>
              </w:rPr>
              <w:t xml:space="preserve">Date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w:r>
          </w:p>
        </w:tc>
      </w:tr>
    </w:tbl>
    <w:p>
      <w:pPr>
        <w:spacing w:before="200" w:after="0"/>
      </w:pPr>
      <w:r>
        <w:t xml:space="preserve"/>
      </w:r>
    </w:p>
    <w:p>
      <w:pPr>
        <w:spacing w:before="0" w:after="80"/>
      </w:pPr>
      <w:r>
        <w:rPr>
          <w:rFonts w:ascii="Arial" w:cs="Arial" w:eastAsia="Arial" w:hAnsi="Arial"/>
          <w:b/>
          <w:bCs/>
          <w:color w:val="1A3A5C"/>
          <w:sz w:val="20"/>
          <w:szCs w:val="20"/>
        </w:rPr>
        <w:t xml:space="preserve">For PROVENIQ Foundation: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rHeight w:val="600" w:hRule="exact"/>
        </w:trP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3A5C"/>
                <w:sz w:val="18"/>
                <w:szCs w:val="18"/>
              </w:rPr>
              <w:t xml:space="preserve">Authorized Representative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w:r>
          </w:p>
        </w:tc>
      </w:tr>
      <w:tr>
        <w:trPr>
          <w:trHeight w:val="600" w:hRule="exact"/>
        </w:trP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3A5C"/>
                <w:sz w:val="18"/>
                <w:szCs w:val="18"/>
              </w:rPr>
              <w:t xml:space="preserve">Title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w:r>
          </w:p>
        </w:tc>
      </w:tr>
      <w:tr>
        <w:trPr>
          <w:trHeight w:val="600" w:hRule="exact"/>
        </w:trP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3A5C"/>
                <w:sz w:val="18"/>
                <w:szCs w:val="18"/>
              </w:rPr>
              <w:t xml:space="preserve">Signature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w:r>
          </w:p>
        </w:tc>
      </w:tr>
      <w:tr>
        <w:trPr>
          <w:trHeight w:val="600" w:hRule="exact"/>
        </w:trP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3A5C"/>
                <w:sz w:val="18"/>
                <w:szCs w:val="18"/>
              </w:rPr>
              <w:t xml:space="preserve">Date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w:r>
          </w:p>
        </w:tc>
      </w:tr>
    </w:tbl>
    <w:p>
      <w:r>
        <w:br w:type="page"/>
      </w:r>
    </w:p>
    <w:p>
      <w:pPr>
        <w:spacing w:before="0" w:after="60"/>
      </w:pPr>
      <w:r>
        <w:rPr>
          <w:rFonts w:ascii="Arial" w:cs="Arial" w:eastAsia="Arial" w:hAnsi="Arial"/>
          <w:b/>
          <w:bCs/>
          <w:caps/>
          <w:color w:val="C0392B"/>
          <w:sz w:val="28"/>
          <w:szCs w:val="28"/>
        </w:rPr>
        <w:t xml:space="preserve">APPENDIX A — INTERNAL LEGAL REVIEW MEMO</w:t>
      </w:r>
    </w:p>
    <w:p>
      <w:pPr>
        <w:spacing w:before="0" w:after="120"/>
      </w:pPr>
      <w:r>
        <w:rPr>
          <w:rFonts w:ascii="Arial" w:cs="Arial" w:eastAsia="Arial" w:hAnsi="Arial"/>
          <w:b/>
          <w:bCs/>
          <w:i/>
          <w:iCs/>
          <w:color w:val="C0392B"/>
          <w:sz w:val="18"/>
          <w:szCs w:val="18"/>
        </w:rPr>
        <w:t xml:space="preserve">NOT FOR PUBLIC DISTRIBUTION — Attorney-Client Privilege May Apply</w:t>
      </w:r>
    </w:p>
    <w:p>
      <w:pPr>
        <w:pBdr>
          <w:bottom w:val="single" w:color="2E6DA4" w:sz="4" w:space="1"/>
        </w:pBdr>
        <w:spacing w:before="160" w:after="160"/>
      </w:pPr>
      <w:r>
        <w:t xml:space="preserve"/>
      </w:r>
    </w:p>
    <w:p>
      <w:pPr>
        <w:spacing w:before="80" w:after="100"/>
      </w:pPr>
      <w:r>
        <w:rPr>
          <w:rFonts w:ascii="Arial" w:cs="Arial" w:eastAsia="Arial" w:hAnsi="Arial"/>
          <w:color w:val="333333"/>
          <w:sz w:val="20"/>
          <w:szCs w:val="20"/>
        </w:rPr>
        <w:t xml:space="preserve">The following items are flagged for counsel review and are separated from the agreement body to preserve the integrity of the executable document:</w:t>
      </w:r>
    </w:p>
    <w:p>
      <w:pPr>
        <w:spacing w:before="80" w:after="0"/>
      </w:pPr>
      <w:r>
        <w:t xml:space="preserve"/>
      </w:r>
    </w:p>
    <w:p>
      <w:pPr>
        <w:spacing w:before="120" w:after="60"/>
      </w:pPr>
      <w:r>
        <w:rPr>
          <w:rFonts w:ascii="Arial" w:cs="Arial" w:eastAsia="Arial" w:hAnsi="Arial"/>
          <w:b/>
          <w:bCs/>
          <w:color w:val="1A3A5C"/>
          <w:sz w:val="20"/>
          <w:szCs w:val="20"/>
        </w:rPr>
        <w:t xml:space="preserve">Non-Partnership / Non-Agency Language</w:t>
      </w:r>
    </w:p>
    <w:p>
      <w:pPr>
        <w:spacing w:before="0" w:after="80"/>
        <w:ind w:left="360"/>
      </w:pPr>
      <w:r>
        <w:rPr>
          <w:rFonts w:ascii="Arial" w:cs="Arial" w:eastAsia="Arial" w:hAnsi="Arial"/>
          <w:color w:val="333333"/>
          <w:sz w:val="18"/>
          <w:szCs w:val="18"/>
        </w:rPr>
        <w:t xml:space="preserve">Confirm adequacy of disclaimers for West Virginia and multi-state use. Verify that no PAW Pact provision inadvertently triggers joint employer, joint venture, or agency liability.</w:t>
      </w:r>
    </w:p>
    <w:p>
      <w:pPr>
        <w:spacing w:before="120" w:after="60"/>
      </w:pPr>
      <w:r>
        <w:rPr>
          <w:rFonts w:ascii="Arial" w:cs="Arial" w:eastAsia="Arial" w:hAnsi="Arial"/>
          <w:b/>
          <w:bCs/>
          <w:color w:val="1A3A5C"/>
          <w:sz w:val="20"/>
          <w:szCs w:val="20"/>
        </w:rPr>
        <w:t xml:space="preserve">Data Agreements</w:t>
      </w:r>
    </w:p>
    <w:p>
      <w:pPr>
        <w:spacing w:before="0" w:after="80"/>
        <w:ind w:left="360"/>
      </w:pPr>
      <w:r>
        <w:rPr>
          <w:rFonts w:ascii="Arial" w:cs="Arial" w:eastAsia="Arial" w:hAnsi="Arial"/>
          <w:color w:val="333333"/>
          <w:sz w:val="18"/>
          <w:szCs w:val="18"/>
        </w:rPr>
        <w:t xml:space="preserve">Determine whether a separate Data Processing Agreement, BAA, or Platform Terms of Use must be incorporated by reference or executed as a companion document — particularly for VetOS clinical workflows and LifeLog health records.</w:t>
      </w:r>
    </w:p>
    <w:p>
      <w:pPr>
        <w:spacing w:before="120" w:after="60"/>
      </w:pPr>
      <w:r>
        <w:rPr>
          <w:rFonts w:ascii="Arial" w:cs="Arial" w:eastAsia="Arial" w:hAnsi="Arial"/>
          <w:b/>
          <w:bCs/>
          <w:color w:val="1A3A5C"/>
          <w:sz w:val="20"/>
          <w:szCs w:val="20"/>
        </w:rPr>
        <w:t xml:space="preserve">Suspension / Removal Discretion</w:t>
      </w:r>
    </w:p>
    <w:p>
      <w:pPr>
        <w:spacing w:before="0" w:after="80"/>
        <w:ind w:left="360"/>
      </w:pPr>
      <w:r>
        <w:rPr>
          <w:rFonts w:ascii="Arial" w:cs="Arial" w:eastAsia="Arial" w:hAnsi="Arial"/>
          <w:color w:val="333333"/>
          <w:sz w:val="18"/>
          <w:szCs w:val="18"/>
        </w:rPr>
        <w:t xml:space="preserve">Review whether unilateral removal authority requires a minimum notice period or due-process provision for non-safety disputes. Assess litigation risk of current language.</w:t>
      </w:r>
    </w:p>
    <w:p>
      <w:pPr>
        <w:spacing w:before="120" w:after="60"/>
      </w:pPr>
      <w:r>
        <w:rPr>
          <w:rFonts w:ascii="Arial" w:cs="Arial" w:eastAsia="Arial" w:hAnsi="Arial"/>
          <w:b/>
          <w:bCs/>
          <w:color w:val="1A3A5C"/>
          <w:sz w:val="20"/>
          <w:szCs w:val="20"/>
        </w:rPr>
        <w:t xml:space="preserve">Governing Law — Multi-State Participants</w:t>
      </w:r>
    </w:p>
    <w:p>
      <w:pPr>
        <w:spacing w:before="0" w:after="80"/>
        <w:ind w:left="360"/>
      </w:pPr>
      <w:r>
        <w:rPr>
          <w:rFonts w:ascii="Arial" w:cs="Arial" w:eastAsia="Arial" w:hAnsi="Arial"/>
          <w:color w:val="333333"/>
          <w:sz w:val="18"/>
          <w:szCs w:val="18"/>
        </w:rPr>
        <w:t xml:space="preserve">Confirm WV as controlling jurisdiction. Advise on enforceability against participants domiciled in other states.</w:t>
      </w:r>
    </w:p>
    <w:p>
      <w:pPr>
        <w:spacing w:before="120" w:after="60"/>
      </w:pPr>
      <w:r>
        <w:rPr>
          <w:rFonts w:ascii="Arial" w:cs="Arial" w:eastAsia="Arial" w:hAnsi="Arial"/>
          <w:b/>
          <w:bCs/>
          <w:color w:val="1A3A5C"/>
          <w:sz w:val="20"/>
          <w:szCs w:val="20"/>
        </w:rPr>
        <w:t xml:space="preserve">Limitation of Liability</w:t>
      </w:r>
    </w:p>
    <w:p>
      <w:pPr>
        <w:spacing w:before="0" w:after="80"/>
        <w:ind w:left="360"/>
      </w:pPr>
      <w:r>
        <w:rPr>
          <w:rFonts w:ascii="Arial" w:cs="Arial" w:eastAsia="Arial" w:hAnsi="Arial"/>
          <w:color w:val="333333"/>
          <w:sz w:val="18"/>
          <w:szCs w:val="18"/>
        </w:rPr>
        <w:t xml:space="preserve">Confirm that WV nonprofit law permits the liability cap in Section 18. Advise on appropriate carve-outs for willful misconduct or gross negligence.</w:t>
      </w:r>
    </w:p>
    <w:p>
      <w:pPr>
        <w:spacing w:before="120" w:after="60"/>
      </w:pPr>
      <w:r>
        <w:rPr>
          <w:rFonts w:ascii="Arial" w:cs="Arial" w:eastAsia="Arial" w:hAnsi="Arial"/>
          <w:b/>
          <w:bCs/>
          <w:color w:val="1A3A5C"/>
          <w:sz w:val="20"/>
          <w:szCs w:val="20"/>
        </w:rPr>
        <w:t xml:space="preserve">'Material Change' Definition</w:t>
      </w:r>
    </w:p>
    <w:p>
      <w:pPr>
        <w:spacing w:before="0" w:after="80"/>
        <w:ind w:left="360"/>
      </w:pPr>
      <w:r>
        <w:rPr>
          <w:rFonts w:ascii="Arial" w:cs="Arial" w:eastAsia="Arial" w:hAnsi="Arial"/>
          <w:color w:val="333333"/>
          <w:sz w:val="18"/>
          <w:szCs w:val="18"/>
        </w:rPr>
        <w:t xml:space="preserve">Define a threshold for what constitutes a material amendment and whether re-execution or written acknowledgment within a defined window is required.</w:t>
      </w:r>
    </w:p>
    <w:p>
      <w:pPr>
        <w:spacing w:before="120" w:after="60"/>
      </w:pPr>
      <w:r>
        <w:rPr>
          <w:rFonts w:ascii="Arial" w:cs="Arial" w:eastAsia="Arial" w:hAnsi="Arial"/>
          <w:b/>
          <w:bCs/>
          <w:color w:val="1A3A5C"/>
          <w:sz w:val="20"/>
          <w:szCs w:val="20"/>
        </w:rPr>
        <w:t xml:space="preserve">Tier Instruments</w:t>
      </w:r>
    </w:p>
    <w:p>
      <w:pPr>
        <w:spacing w:before="0" w:after="80"/>
        <w:ind w:left="360"/>
      </w:pPr>
      <w:r>
        <w:rPr>
          <w:rFonts w:ascii="Arial" w:cs="Arial" w:eastAsia="Arial" w:hAnsi="Arial"/>
          <w:color w:val="333333"/>
          <w:sz w:val="18"/>
          <w:szCs w:val="18"/>
        </w:rPr>
        <w:t xml:space="preserve">Confirm whether participation tier distinctions (Section 4) require separate written agreements per tier or whether a single acknowledgment with tier designation is sufficient.</w:t>
      </w:r>
    </w:p>
    <w:p>
      <w:pPr>
        <w:spacing w:before="120" w:after="60"/>
      </w:pPr>
      <w:r>
        <w:rPr>
          <w:rFonts w:ascii="Arial" w:cs="Arial" w:eastAsia="Arial" w:hAnsi="Arial"/>
          <w:b/>
          <w:bCs/>
          <w:color w:val="1A3A5C"/>
          <w:sz w:val="20"/>
          <w:szCs w:val="20"/>
        </w:rPr>
        <w:t xml:space="preserve">Lobbying and Policy Advocacy</w:t>
      </w:r>
    </w:p>
    <w:p>
      <w:pPr>
        <w:spacing w:before="0" w:after="80"/>
        <w:ind w:left="360"/>
      </w:pPr>
      <w:r>
        <w:rPr>
          <w:rFonts w:ascii="Arial" w:cs="Arial" w:eastAsia="Arial" w:hAnsi="Arial"/>
          <w:color w:val="333333"/>
          <w:sz w:val="18"/>
          <w:szCs w:val="18"/>
        </w:rPr>
        <w:t xml:space="preserve">Review Section 12 in light of PROVENIQ's 501(c)(3) application status and IRS determination letter (pending). Confirm appropriate separation between PAW Pact participation and BARK Act / FETCH Act legislative endorsement.</w:t>
      </w:r>
    </w:p>
    <w:p>
      <w:pPr>
        <w:spacing w:before="120" w:after="60"/>
      </w:pPr>
      <w:r>
        <w:rPr>
          <w:rFonts w:ascii="Arial" w:cs="Arial" w:eastAsia="Arial" w:hAnsi="Arial"/>
          <w:b/>
          <w:bCs/>
          <w:color w:val="1A3A5C"/>
          <w:sz w:val="20"/>
          <w:szCs w:val="20"/>
        </w:rPr>
        <w:t xml:space="preserve">Role-Specific Appendices</w:t>
      </w:r>
    </w:p>
    <w:p>
      <w:pPr>
        <w:spacing w:before="0" w:after="80"/>
        <w:ind w:left="360"/>
      </w:pPr>
      <w:r>
        <w:rPr>
          <w:rFonts w:ascii="Arial" w:cs="Arial" w:eastAsia="Arial" w:hAnsi="Arial"/>
          <w:color w:val="333333"/>
          <w:sz w:val="18"/>
          <w:szCs w:val="18"/>
        </w:rPr>
        <w:t xml:space="preserve">Future drafting should add appendices tailored to: shelters, rescues, clinics, municipal/animal control partners, and informal community groups.</w:t>
      </w:r>
    </w:p>
    <w:p>
      <w:pPr>
        <w:spacing w:before="120" w:after="60"/>
      </w:pPr>
      <w:r>
        <w:rPr>
          <w:rFonts w:ascii="Arial" w:cs="Arial" w:eastAsia="Arial" w:hAnsi="Arial"/>
          <w:b/>
          <w:bCs/>
          <w:color w:val="1A3A5C"/>
          <w:sz w:val="20"/>
          <w:szCs w:val="20"/>
        </w:rPr>
        <w:t xml:space="preserve">Annual Review Cycle</w:t>
      </w:r>
    </w:p>
    <w:p>
      <w:pPr>
        <w:spacing w:before="0" w:after="80"/>
        <w:ind w:left="360"/>
      </w:pPr>
      <w:r>
        <w:rPr>
          <w:rFonts w:ascii="Arial" w:cs="Arial" w:eastAsia="Arial" w:hAnsi="Arial"/>
          <w:color w:val="333333"/>
          <w:sz w:val="18"/>
          <w:szCs w:val="18"/>
        </w:rPr>
        <w:t xml:space="preserve">Advise on whether an annual renewal requirement should be formalized and whether lapsed participants retain any residual rights or directory presence.</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before="120" w:after="0"/>
    </w:pPr>
    <w:r>
      <w:rPr>
        <w:rFonts w:ascii="Arial" w:cs="Arial" w:eastAsia="Arial" w:hAnsi="Arial"/>
        <w:color w:val="666666"/>
        <w:sz w:val="16"/>
        <w:szCs w:val="16"/>
      </w:rPr>
      <w:t xml:space="preserve">DRAFT FOR LEGAL REVIEW  —  Not for public distribution without counsel review  —  © PROVENIQ Foundation  —  pro-found.org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6DA4" w:sz="6" w:space="1"/>
      </w:pBdr>
      <w:spacing w:before="0" w:after="120"/>
    </w:pPr>
    <w:r>
      <w:rPr>
        <w:rFonts w:ascii="Arial" w:cs="Arial" w:eastAsia="Arial" w:hAnsi="Arial"/>
        <w:color w:val="666666"/>
        <w:sz w:val="16"/>
        <w:szCs w:val="16"/>
      </w:rPr>
      <w:t xml:space="preserve">PROVENIQ FOUNDATION  |  PAW Pact Agreement  |  MASTER CONSOLIDATED DRAFT</w:t>
    </w:r>
    <w:r>
      <w:rPr>
        <w:rFonts w:ascii="Arial" w:cs="Arial" w:eastAsia="Arial" w:hAnsi="Arial"/>
        <w:color w:val="666666"/>
        <w:sz w:val="16"/>
        <w:szCs w:val="16"/>
      </w:rPr>
      <w:t xml:space="preserve">  —  Page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1A3A5C"/>
      <w:sz w:val="26"/>
      <w:szCs w:val="26"/>
    </w:rPr>
  </w:style>
  <w:style w:type="paragraph" w:styleId="Heading2">
    <w:name w:val="Heading 2"/>
    <w:basedOn w:val="Normal"/>
    <w:next w:val="Normal"/>
    <w:qFormat/>
    <w:pPr>
      <w:spacing w:before="240" w:after="120"/>
      <w:outlineLvl w:val="1"/>
    </w:pPr>
    <w:rPr>
      <w:rFonts w:ascii="Arial" w:cs="Arial" w:eastAsia="Arial" w:hAnsi="Arial"/>
      <w:b/>
      <w:bCs/>
      <w:color w:val="2E6DA4"/>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2026-03-06T16:38:06.000Z</dcterms:created>
  <dcterms:modified xsi:type="dcterms:W3CDTF">2026-03-06T16:38:06.001Z</dcterms:modified>
</cp:coreProperties>
</file>

<file path=docProps/custom.xml><?xml version="1.0" encoding="utf-8"?>
<Properties xmlns="http://schemas.openxmlformats.org/officeDocument/2006/custom-properties" xmlns:vt="http://schemas.openxmlformats.org/officeDocument/2006/docPropsVTypes"/>
</file>