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color w:val="1F4E79"/>
          <w:sz w:val="18"/>
        </w:rPr>
        <w:t>PROVENIQ FOUNDATION</w:t>
      </w:r>
    </w:p>
    <w:p>
      <w:pPr>
        <w:pStyle w:val="Title"/>
        <w:jc w:val="center"/>
      </w:pPr>
      <w:r>
        <w:t>PAW Pact Public Summary and Website Implementation Brief</w:t>
      </w:r>
    </w:p>
    <w:p>
      <w:pPr>
        <w:spacing w:after="280"/>
        <w:jc w:val="center"/>
      </w:pPr>
      <w:r>
        <w:rPr>
          <w:rFonts w:ascii="Aptos" w:hAnsi="Aptos"/>
          <w:color w:val="464646"/>
          <w:sz w:val="22"/>
        </w:rPr>
        <w:t>Public-facing summary copy, architecture guidance, and Windsurf implementation instructions for the PROVENIQ Foundation website.</w:t>
      </w:r>
    </w:p>
    <w:tbl>
      <w:tblPr>
        <w:tblW w:type="auto" w:w="0"/>
        <w:jc w:val="center"/>
        <w:tblLayout w:type="fixed"/>
        <w:tblLook w:firstColumn="1" w:firstRow="1" w:lastColumn="0" w:lastRow="0" w:noHBand="0" w:noVBand="1" w:val="04A0"/>
      </w:tblPr>
      <w:tblGrid>
        <w:gridCol w:w="9936"/>
      </w:tblGrid>
      <w:tr>
        <w:tc>
          <w:tcPr>
            <w:tcW w:type="dxa" w:w="8928"/>
            <w:shd w:fill="EAF2F8"/>
            <w:tcMar>
              <w:top w:w="180" w:type="dxa"/>
              <w:start w:w="180" w:type="dxa"/>
              <w:bottom w:w="180" w:type="dxa"/>
              <w:end w:w="180" w:type="dxa"/>
            </w:tcMar>
          </w:tcPr>
          <w:p>
            <w:pPr>
              <w:jc w:val="center"/>
            </w:pPr>
            <w:r>
              <w:rPr>
                <w:b/>
                <w:color w:val="1F4E79"/>
                <w:sz w:val="36"/>
              </w:rPr>
              <w:t>PAW Pact</w:t>
              <w:br/>
            </w:r>
            <w:r>
              <w:rPr>
                <w:b/>
                <w:color w:val="2D2D2D"/>
                <w:sz w:val="26"/>
              </w:rPr>
              <w:t>Many Missions. One Network.</w:t>
              <w:br/>
            </w:r>
            <w:r>
              <w:rPr>
                <w:color w:val="464646"/>
                <w:sz w:val="22"/>
              </w:rPr>
              <w:t>Building the digital roads that connect animal welfare.</w:t>
            </w:r>
          </w:p>
        </w:tc>
      </w:tr>
    </w:tbl>
    <w:p>
      <w:pPr>
        <w:pStyle w:val="SmallGray"/>
        <w:jc w:val="center"/>
      </w:pPr>
      <w:r>
        <w:t>Prepared for website implementation and coalition launch.</w:t>
      </w:r>
    </w:p>
    <w:p>
      <w:r>
        <w:br w:type="page"/>
      </w:r>
    </w:p>
    <w:p>
      <w:pPr>
        <w:pStyle w:val="Heading1"/>
      </w:pPr>
      <w:r>
        <w:t>1. Brand Architecture</w:t>
      </w:r>
    </w:p>
    <w:tbl>
      <w:tblPr>
        <w:tblW w:type="auto" w:w="0"/>
        <w:jc w:val="center"/>
        <w:tblLayout w:type="fixed"/>
        <w:tblLook w:firstColumn="1" w:firstRow="1" w:lastColumn="0" w:lastRow="0" w:noHBand="0" w:noVBand="1" w:val="04A0"/>
      </w:tblPr>
      <w:tblGrid>
        <w:gridCol w:w="9936"/>
      </w:tblGrid>
      <w:tr>
        <w:tc>
          <w:tcPr>
            <w:tcW w:type="dxa" w:w="9072"/>
            <w:shd w:fill="F7F9FC"/>
            <w:tcMar>
              <w:top w:w="150" w:type="dxa"/>
              <w:start w:w="150" w:type="dxa"/>
              <w:bottom w:w="150" w:type="dxa"/>
              <w:end w:w="150" w:type="dxa"/>
            </w:tcMar>
          </w:tcPr>
          <w:p>
            <w:r>
              <w:rPr>
                <w:b/>
                <w:color w:val="1F4E79"/>
              </w:rPr>
              <w:t>Core hierarchy</w:t>
            </w:r>
            <w:r>
              <w:br/>
              <w:t>PROVENIQ Foundation is the steward. The PROVENIQ System is the infrastructure. The PAW Pact is the participation framework. The BARK Act is the policy and accountability layer that helps strengthen the system over time.</w:t>
            </w:r>
          </w:p>
        </w:tc>
      </w:tr>
    </w:tbl>
    <w:p/>
    <w:tbl>
      <w:tblPr>
        <w:tblStyle w:val="TableGrid"/>
        <w:tblW w:type="auto" w:w="0"/>
        <w:jc w:val="center"/>
        <w:tblLayout w:type="fixed"/>
        <w:tblLook w:firstColumn="1" w:firstRow="1" w:lastColumn="0" w:lastRow="0" w:noHBand="0" w:noVBand="1" w:val="04A0"/>
      </w:tblPr>
      <w:tblGrid>
        <w:gridCol w:w="3312"/>
        <w:gridCol w:w="3312"/>
        <w:gridCol w:w="3312"/>
      </w:tblGrid>
      <w:tr>
        <w:trPr>
          <w:tblHeader w:val="true"/>
        </w:trPr>
        <w:tc>
          <w:tcPr>
            <w:tcW w:type="dxa" w:w="2088"/>
            <w:vAlign w:val="center"/>
            <w:tcMar>
              <w:top w:w="90" w:type="dxa"/>
              <w:start w:w="110" w:type="dxa"/>
              <w:bottom w:w="90" w:type="dxa"/>
              <w:end w:w="110" w:type="dxa"/>
            </w:tcMar>
            <w:shd w:fill="D9E8F5"/>
          </w:tcPr>
          <w:p>
            <w:pPr>
              <w:spacing w:after="0"/>
            </w:pPr>
            <w:r>
              <w:rPr>
                <w:b/>
              </w:rPr>
              <w:t>Layer</w:t>
            </w:r>
          </w:p>
        </w:tc>
        <w:tc>
          <w:tcPr>
            <w:tcW w:type="dxa" w:w="2448"/>
            <w:vAlign w:val="center"/>
            <w:tcMar>
              <w:top w:w="90" w:type="dxa"/>
              <w:start w:w="110" w:type="dxa"/>
              <w:bottom w:w="90" w:type="dxa"/>
              <w:end w:w="110" w:type="dxa"/>
            </w:tcMar>
            <w:shd w:fill="D9E8F5"/>
          </w:tcPr>
          <w:p>
            <w:pPr>
              <w:spacing w:after="0"/>
            </w:pPr>
            <w:r>
              <w:rPr>
                <w:b/>
              </w:rPr>
              <w:t>Role</w:t>
            </w:r>
          </w:p>
        </w:tc>
        <w:tc>
          <w:tcPr>
            <w:tcW w:type="dxa" w:w="4464"/>
            <w:vAlign w:val="center"/>
            <w:tcMar>
              <w:top w:w="90" w:type="dxa"/>
              <w:start w:w="110" w:type="dxa"/>
              <w:bottom w:w="90" w:type="dxa"/>
              <w:end w:w="110" w:type="dxa"/>
            </w:tcMar>
            <w:shd w:fill="D9E8F5"/>
          </w:tcPr>
          <w:p>
            <w:pPr>
              <w:spacing w:after="0"/>
            </w:pPr>
            <w:r>
              <w:rPr>
                <w:b/>
              </w:rPr>
              <w:t>Plain-English meaning</w:t>
            </w:r>
          </w:p>
        </w:tc>
      </w:tr>
      <w:tr>
        <w:tc>
          <w:tcPr>
            <w:tcW w:type="dxa" w:w="2088"/>
            <w:vAlign w:val="center"/>
            <w:tcMar>
              <w:top w:w="90" w:type="dxa"/>
              <w:start w:w="110" w:type="dxa"/>
              <w:bottom w:w="90" w:type="dxa"/>
              <w:end w:w="110" w:type="dxa"/>
            </w:tcMar>
          </w:tcPr>
          <w:p>
            <w:pPr>
              <w:spacing w:after="0"/>
            </w:pPr>
            <w:r>
              <w:t>PROVENIQ Foundation</w:t>
            </w:r>
          </w:p>
        </w:tc>
        <w:tc>
          <w:tcPr>
            <w:tcW w:type="dxa" w:w="2448"/>
            <w:vAlign w:val="center"/>
            <w:tcMar>
              <w:top w:w="90" w:type="dxa"/>
              <w:start w:w="110" w:type="dxa"/>
              <w:bottom w:w="90" w:type="dxa"/>
              <w:end w:w="110" w:type="dxa"/>
            </w:tcMar>
          </w:tcPr>
          <w:p>
            <w:pPr>
              <w:spacing w:after="0"/>
            </w:pPr>
            <w:r>
              <w:t>Institution / steward</w:t>
            </w:r>
          </w:p>
        </w:tc>
        <w:tc>
          <w:tcPr>
            <w:tcW w:type="dxa" w:w="4464"/>
            <w:vAlign w:val="center"/>
            <w:tcMar>
              <w:top w:w="90" w:type="dxa"/>
              <w:start w:w="110" w:type="dxa"/>
              <w:bottom w:w="90" w:type="dxa"/>
              <w:end w:w="110" w:type="dxa"/>
            </w:tcMar>
          </w:tcPr>
          <w:p>
            <w:pPr>
              <w:spacing w:after="0"/>
            </w:pPr>
            <w:r>
              <w:t>Who is leading, fundraising, convening, and protecting the mission.</w:t>
            </w:r>
          </w:p>
        </w:tc>
      </w:tr>
      <w:tr>
        <w:tc>
          <w:tcPr>
            <w:tcW w:type="dxa" w:w="2088"/>
            <w:vAlign w:val="center"/>
            <w:tcMar>
              <w:top w:w="90" w:type="dxa"/>
              <w:start w:w="110" w:type="dxa"/>
              <w:bottom w:w="90" w:type="dxa"/>
              <w:end w:w="110" w:type="dxa"/>
            </w:tcMar>
          </w:tcPr>
          <w:p>
            <w:pPr>
              <w:spacing w:after="0"/>
            </w:pPr>
            <w:r>
              <w:t>PROVENIQ System</w:t>
            </w:r>
          </w:p>
        </w:tc>
        <w:tc>
          <w:tcPr>
            <w:tcW w:type="dxa" w:w="2448"/>
            <w:vAlign w:val="center"/>
            <w:tcMar>
              <w:top w:w="90" w:type="dxa"/>
              <w:start w:w="110" w:type="dxa"/>
              <w:bottom w:w="90" w:type="dxa"/>
              <w:end w:w="110" w:type="dxa"/>
            </w:tcMar>
          </w:tcPr>
          <w:p>
            <w:pPr>
              <w:spacing w:after="0"/>
            </w:pPr>
            <w:r>
              <w:t>Infrastructure ecosystem</w:t>
            </w:r>
          </w:p>
        </w:tc>
        <w:tc>
          <w:tcPr>
            <w:tcW w:type="dxa" w:w="4464"/>
            <w:vAlign w:val="center"/>
            <w:tcMar>
              <w:top w:w="90" w:type="dxa"/>
              <w:start w:w="110" w:type="dxa"/>
              <w:bottom w:w="90" w:type="dxa"/>
              <w:end w:w="110" w:type="dxa"/>
            </w:tcMar>
          </w:tcPr>
          <w:p>
            <w:pPr>
              <w:spacing w:after="0"/>
            </w:pPr>
            <w:r>
              <w:t>The connected operating environment built for animal welfare: Pet Command, Homeward Bound, Lifeline, and Fix-It Forward.</w:t>
            </w:r>
          </w:p>
        </w:tc>
      </w:tr>
      <w:tr>
        <w:tc>
          <w:tcPr>
            <w:tcW w:type="dxa" w:w="2088"/>
            <w:vAlign w:val="center"/>
            <w:tcMar>
              <w:top w:w="90" w:type="dxa"/>
              <w:start w:w="110" w:type="dxa"/>
              <w:bottom w:w="90" w:type="dxa"/>
              <w:end w:w="110" w:type="dxa"/>
            </w:tcMar>
          </w:tcPr>
          <w:p>
            <w:pPr>
              <w:spacing w:after="0"/>
            </w:pPr>
            <w:r>
              <w:t>PAW Pact</w:t>
            </w:r>
          </w:p>
        </w:tc>
        <w:tc>
          <w:tcPr>
            <w:tcW w:type="dxa" w:w="2448"/>
            <w:vAlign w:val="center"/>
            <w:tcMar>
              <w:top w:w="90" w:type="dxa"/>
              <w:start w:w="110" w:type="dxa"/>
              <w:bottom w:w="90" w:type="dxa"/>
              <w:end w:w="110" w:type="dxa"/>
            </w:tcMar>
          </w:tcPr>
          <w:p>
            <w:pPr>
              <w:spacing w:after="0"/>
            </w:pPr>
            <w:r>
              <w:t>Coalition / network layer</w:t>
            </w:r>
          </w:p>
        </w:tc>
        <w:tc>
          <w:tcPr>
            <w:tcW w:type="dxa" w:w="4464"/>
            <w:vAlign w:val="center"/>
            <w:tcMar>
              <w:top w:w="90" w:type="dxa"/>
              <w:start w:w="110" w:type="dxa"/>
              <w:bottom w:w="90" w:type="dxa"/>
              <w:end w:w="110" w:type="dxa"/>
            </w:tcMar>
          </w:tcPr>
          <w:p>
            <w:pPr>
              <w:spacing w:after="0"/>
            </w:pPr>
            <w:r>
              <w:t>How independent organizations join a shared network without giving up their identity.</w:t>
            </w:r>
          </w:p>
        </w:tc>
      </w:tr>
      <w:tr>
        <w:tc>
          <w:tcPr>
            <w:tcW w:type="dxa" w:w="2088"/>
            <w:vAlign w:val="center"/>
            <w:tcMar>
              <w:top w:w="90" w:type="dxa"/>
              <w:start w:w="110" w:type="dxa"/>
              <w:bottom w:w="90" w:type="dxa"/>
              <w:end w:w="110" w:type="dxa"/>
            </w:tcMar>
          </w:tcPr>
          <w:p>
            <w:pPr>
              <w:spacing w:after="0"/>
            </w:pPr>
            <w:r>
              <w:t>BARK Act</w:t>
            </w:r>
          </w:p>
        </w:tc>
        <w:tc>
          <w:tcPr>
            <w:tcW w:type="dxa" w:w="2448"/>
            <w:vAlign w:val="center"/>
            <w:tcMar>
              <w:top w:w="90" w:type="dxa"/>
              <w:start w:w="110" w:type="dxa"/>
              <w:bottom w:w="90" w:type="dxa"/>
              <w:end w:w="110" w:type="dxa"/>
            </w:tcMar>
          </w:tcPr>
          <w:p>
            <w:pPr>
              <w:spacing w:after="0"/>
            </w:pPr>
            <w:r>
              <w:t>Policy reform layer</w:t>
            </w:r>
          </w:p>
        </w:tc>
        <w:tc>
          <w:tcPr>
            <w:tcW w:type="dxa" w:w="4464"/>
            <w:vAlign w:val="center"/>
            <w:tcMar>
              <w:top w:w="90" w:type="dxa"/>
              <w:start w:w="110" w:type="dxa"/>
              <w:bottom w:w="90" w:type="dxa"/>
              <w:end w:w="110" w:type="dxa"/>
            </w:tcMar>
          </w:tcPr>
          <w:p>
            <w:pPr>
              <w:spacing w:after="0"/>
            </w:pPr>
            <w:r>
              <w:t>The legislative framework that improves standards, accountability, and long-term system strength.</w:t>
            </w:r>
          </w:p>
        </w:tc>
      </w:tr>
    </w:tbl>
    <w:p/>
    <w:p>
      <w:pPr>
        <w:pStyle w:val="Heading1"/>
      </w:pPr>
      <w:r>
        <w:t>2. Website messaging lockup</w:t>
      </w:r>
    </w:p>
    <w:p>
      <w:r>
        <w:rPr>
          <w:b/>
          <w:color w:val="1F4E79"/>
          <w:sz w:val="36"/>
        </w:rPr>
        <w:t>PAW Pact</w:t>
        <w:br/>
      </w:r>
      <w:r>
        <w:rPr>
          <w:b/>
          <w:sz w:val="26"/>
        </w:rPr>
        <w:t>Many Missions. One Network.</w:t>
        <w:br/>
      </w:r>
      <w:r>
        <w:rPr>
          <w:i/>
        </w:rPr>
        <w:t>Building the digital roads that connect animal welfare.</w:t>
      </w:r>
    </w:p>
    <w:p>
      <w:pPr>
        <w:pStyle w:val="Heading1"/>
      </w:pPr>
      <w:r>
        <w:t>3. Recommended homepage placement</w:t>
      </w:r>
    </w:p>
    <w:p>
      <w:pPr>
        <w:pStyle w:val="ListBullet"/>
        <w:spacing w:after="60"/>
      </w:pPr>
      <w:r>
        <w:t>Keep PAW Pact nested under the PROVENIQ Foundation site, not as a competing parent brand.</w:t>
      </w:r>
    </w:p>
    <w:p>
      <w:pPr>
        <w:pStyle w:val="ListBullet"/>
        <w:spacing w:after="60"/>
      </w:pPr>
      <w:r>
        <w:t>Present PAW Pact as the coalition and participation layer of the broader PROVENIQ System.</w:t>
      </w:r>
    </w:p>
    <w:p>
      <w:pPr>
        <w:pStyle w:val="ListBullet"/>
        <w:spacing w:after="60"/>
      </w:pPr>
      <w:r>
        <w:t>Show PAW Pact after visitors understand who PROVENIQ is and what the PROVENIQ System includes.</w:t>
      </w:r>
    </w:p>
    <w:p>
      <w:pPr>
        <w:pStyle w:val="ListBullet"/>
        <w:spacing w:after="60"/>
      </w:pPr>
      <w:r>
        <w:t>On the main navigation, place PAW Pact alongside or beneath the system work, not beside the Foundation as though it were a separate institution.</w:t>
      </w:r>
    </w:p>
    <w:p>
      <w:pPr>
        <w:pStyle w:val="Heading1"/>
      </w:pPr>
      <w:r>
        <w:t>4. Windsurf implementation instructions</w:t>
      </w:r>
    </w:p>
    <w:p>
      <w:pPr>
        <w:pStyle w:val="ListNumber"/>
        <w:spacing w:after="60"/>
      </w:pPr>
      <w:r>
        <w:t>Add a new primary site section titled “PAW Pact.”</w:t>
      </w:r>
    </w:p>
    <w:p>
      <w:pPr>
        <w:pStyle w:val="ListNumber"/>
        <w:spacing w:after="60"/>
      </w:pPr>
      <w:r>
        <w:t>Place the section beneath the existing PROVENIQ Foundation and PROVENIQ System framing; do not present PAW Pact as a standalone top-level institution.</w:t>
      </w:r>
    </w:p>
    <w:p>
      <w:pPr>
        <w:pStyle w:val="ListNumber"/>
        <w:spacing w:after="60"/>
      </w:pPr>
      <w:r>
        <w:t>Use the following hero block exactly unless Terry later revises the language.</w:t>
      </w:r>
    </w:p>
    <w:p>
      <w:pPr>
        <w:pStyle w:val="ListNumber"/>
        <w:spacing w:after="60"/>
      </w:pPr>
      <w:r>
        <w:t>Build the page as a clean, institutional landing page with strong hierarchy, generous spacing, restrained color, and no startup-vendor tone.</w:t>
      </w:r>
    </w:p>
    <w:p>
      <w:pPr>
        <w:pStyle w:val="ListNumber"/>
        <w:spacing w:after="60"/>
      </w:pPr>
      <w:r>
        <w:t>Include a relationship diagram that visually shows Foundation -&gt; PROVENIQ System -&gt; PAW Pact, with BARK Act shown as the policy layer supporting the broader mission.</w:t>
      </w:r>
    </w:p>
    <w:p>
      <w:pPr>
        <w:pStyle w:val="ListNumber"/>
        <w:spacing w:after="60"/>
      </w:pPr>
      <w:r>
        <w:t>Add a ‘How It Fits’ section that explains local independence, shared network participation, and policy support.</w:t>
      </w:r>
    </w:p>
    <w:p>
      <w:pPr>
        <w:pStyle w:val="ListNumber"/>
        <w:spacing w:after="60"/>
      </w:pPr>
      <w:r>
        <w:t>Add a ‘What Members Gain’ section using operational language rather than generic nonprofit buzzwords.</w:t>
      </w:r>
    </w:p>
    <w:p>
      <w:pPr>
        <w:pStyle w:val="ListNumber"/>
        <w:spacing w:after="60"/>
      </w:pPr>
      <w:r>
        <w:t>Add a ‘Guardrails’ section that explicitly states what the pact is not: not a merger, not a takeover, not a transfer of governance, not an endorsement of misconduct, and not a pay-to-play badge.</w:t>
      </w:r>
    </w:p>
    <w:p>
      <w:pPr>
        <w:pStyle w:val="ListNumber"/>
        <w:spacing w:after="60"/>
      </w:pPr>
      <w:r>
        <w:t>Add a CTA area with two buttons: ‘Explore the PAW Pact’ and ‘Request a Founding Conversation.’</w:t>
      </w:r>
    </w:p>
    <w:p>
      <w:pPr>
        <w:pStyle w:val="ListNumber"/>
        <w:spacing w:after="60"/>
      </w:pPr>
      <w:r>
        <w:t>Create a downloadable PDF/DOCX resource link area for the public summary and the formal agreement.</w:t>
      </w:r>
    </w:p>
    <w:p>
      <w:pPr>
        <w:pStyle w:val="Heading1"/>
      </w:pPr>
      <w:r>
        <w:t>5. Website copy block for Windsurf</w:t>
      </w:r>
    </w:p>
    <w:p>
      <w:pPr>
        <w:pStyle w:val="Heading2"/>
      </w:pPr>
      <w:r>
        <w:t>Hero</w:t>
      </w:r>
    </w:p>
    <w:p>
      <w:pPr>
        <w:spacing w:after="40"/>
      </w:pPr>
      <w:r>
        <w:rPr>
          <w:b/>
        </w:rPr>
        <w:t>PAW Pact</w:t>
      </w:r>
    </w:p>
    <w:p>
      <w:pPr>
        <w:spacing w:after="40"/>
      </w:pPr>
      <w:r>
        <w:rPr>
          <w:b/>
        </w:rPr>
        <w:t>Many Missions. One Network.</w:t>
      </w:r>
    </w:p>
    <w:p>
      <w:pPr>
        <w:spacing w:after="40"/>
      </w:pPr>
      <w:r>
        <w:rPr>
          <w:b w:val="0"/>
        </w:rPr>
        <w:t>Building the digital roads that connect animal welfare.</w:t>
      </w:r>
    </w:p>
    <w:p>
      <w:pPr>
        <w:pStyle w:val="Heading3"/>
      </w:pPr>
      <w:r>
        <w:t>Suggested hero body copy:</w:t>
      </w:r>
    </w:p>
    <w:p>
      <w:r>
        <w:t>The PROVENIQ Animal Welfare (PAW) Pact is a voluntary coordination network for shelters, rescues, clinics, animal control agencies, foster groups, and community partners. It exists to help independent organizations work together across shared digital infrastructure without giving up their local identity, leadership, or mission.</w:t>
      </w:r>
    </w:p>
    <w:p>
      <w:pPr>
        <w:pStyle w:val="Heading2"/>
      </w:pPr>
      <w:r>
        <w:t>How It Fits</w:t>
      </w:r>
    </w:p>
    <w:p>
      <w:r>
        <w:t>PROVENIQ Foundation stewards the mission. The PROVENIQ System provides the infrastructure. The PAW Pact gives organizations a way to participate in that network. The BARK Act advances the policy reforms that strengthen accountability and long-term impact.</w:t>
      </w:r>
    </w:p>
    <w:p>
      <w:pPr>
        <w:pStyle w:val="Heading2"/>
      </w:pPr>
      <w:r>
        <w:t>What Members Gain</w:t>
      </w:r>
    </w:p>
    <w:p>
      <w:pPr>
        <w:pStyle w:val="ListBullet"/>
        <w:spacing w:after="60"/>
      </w:pPr>
      <w:r>
        <w:t>A shared network for coordination instead of isolation.</w:t>
      </w:r>
    </w:p>
    <w:p>
      <w:pPr>
        <w:pStyle w:val="ListBullet"/>
        <w:spacing w:after="60"/>
      </w:pPr>
      <w:r>
        <w:t>A practical pathway for cross-organization referrals, handoffs, and mutual support.</w:t>
      </w:r>
    </w:p>
    <w:p>
      <w:pPr>
        <w:pStyle w:val="ListBullet"/>
        <w:spacing w:after="60"/>
      </w:pPr>
      <w:r>
        <w:t>Digital infrastructure that reduces duplicated effort and improves visibility.</w:t>
      </w:r>
    </w:p>
    <w:p>
      <w:pPr>
        <w:pStyle w:val="ListBullet"/>
        <w:spacing w:after="60"/>
      </w:pPr>
      <w:r>
        <w:t>A statewide framework that respects local identity while improving system-wide response.</w:t>
      </w:r>
    </w:p>
    <w:p>
      <w:pPr>
        <w:pStyle w:val="ListBullet"/>
        <w:spacing w:after="60"/>
      </w:pPr>
      <w:r>
        <w:t>A stronger collective voice for reform, funding, and public trust.</w:t>
      </w:r>
    </w:p>
    <w:p>
      <w:pPr>
        <w:pStyle w:val="Heading2"/>
      </w:pPr>
      <w:r>
        <w:t>Guardrails</w:t>
      </w:r>
    </w:p>
    <w:p>
      <w:pPr>
        <w:pStyle w:val="ListBullet"/>
        <w:spacing w:after="60"/>
      </w:pPr>
      <w:r>
        <w:t>The PAW Pact is voluntary.</w:t>
      </w:r>
    </w:p>
    <w:p>
      <w:pPr>
        <w:pStyle w:val="ListBullet"/>
        <w:spacing w:after="60"/>
      </w:pPr>
      <w:r>
        <w:t>Membership does not transfer governance, legal control, or ownership.</w:t>
      </w:r>
    </w:p>
    <w:p>
      <w:pPr>
        <w:pStyle w:val="ListBullet"/>
        <w:spacing w:after="60"/>
      </w:pPr>
      <w:r>
        <w:t>Each organization keeps its own board, mission, staff, policies, and donor relationships unless separately agreed in writing.</w:t>
      </w:r>
    </w:p>
    <w:p>
      <w:pPr>
        <w:pStyle w:val="ListBullet"/>
        <w:spacing w:after="60"/>
      </w:pPr>
      <w:r>
        <w:t>The pact does not excuse misconduct, conceal abuse, or override applicable law.</w:t>
      </w:r>
    </w:p>
    <w:p>
      <w:pPr>
        <w:pStyle w:val="ListBullet"/>
        <w:spacing w:after="60"/>
      </w:pPr>
      <w:r>
        <w:t>PROVENIQ Foundation may suspend, deny, or remove participation where conduct threatens animals, public trust, legal compliance, or network integrity.</w:t>
      </w:r>
    </w:p>
    <w:p>
      <w:pPr>
        <w:pStyle w:val="Heading1"/>
      </w:pPr>
      <w:r>
        <w:t>6. Relationship diagram copy</w:t>
      </w:r>
    </w:p>
    <w:tbl>
      <w:tblPr>
        <w:tblStyle w:val="TableGrid"/>
        <w:tblW w:type="auto" w:w="0"/>
        <w:jc w:val="center"/>
        <w:tblLayout w:type="fixed"/>
        <w:tblLook w:firstColumn="1" w:firstRow="1" w:lastColumn="0" w:lastRow="0" w:noHBand="0" w:noVBand="1" w:val="04A0"/>
      </w:tblPr>
      <w:tblGrid>
        <w:gridCol w:w="4968"/>
        <w:gridCol w:w="4968"/>
      </w:tblGrid>
      <w:tr>
        <w:trPr>
          <w:tblHeader w:val="true"/>
        </w:trPr>
        <w:tc>
          <w:tcPr>
            <w:tcW w:type="dxa" w:w="2880"/>
            <w:vAlign w:val="center"/>
            <w:tcMar>
              <w:top w:w="90" w:type="dxa"/>
              <w:start w:w="110" w:type="dxa"/>
              <w:bottom w:w="90" w:type="dxa"/>
              <w:end w:w="110" w:type="dxa"/>
            </w:tcMar>
            <w:shd w:fill="D9E8F5"/>
          </w:tcPr>
          <w:p>
            <w:pPr>
              <w:spacing w:after="0"/>
            </w:pPr>
            <w:r>
              <w:rPr>
                <w:b/>
              </w:rPr>
              <w:t>Display item</w:t>
            </w:r>
          </w:p>
        </w:tc>
        <w:tc>
          <w:tcPr>
            <w:tcW w:type="dxa" w:w="6120"/>
            <w:vAlign w:val="center"/>
            <w:tcMar>
              <w:top w:w="90" w:type="dxa"/>
              <w:start w:w="110" w:type="dxa"/>
              <w:bottom w:w="90" w:type="dxa"/>
              <w:end w:w="110" w:type="dxa"/>
            </w:tcMar>
            <w:shd w:fill="D9E8F5"/>
          </w:tcPr>
          <w:p>
            <w:pPr>
              <w:spacing w:after="0"/>
            </w:pPr>
            <w:r>
              <w:rPr>
                <w:b/>
              </w:rPr>
              <w:t>On-page label</w:t>
            </w:r>
          </w:p>
        </w:tc>
      </w:tr>
      <w:tr>
        <w:tc>
          <w:tcPr>
            <w:tcW w:type="dxa" w:w="2880"/>
            <w:vAlign w:val="center"/>
            <w:tcMar>
              <w:top w:w="90" w:type="dxa"/>
              <w:start w:w="110" w:type="dxa"/>
              <w:bottom w:w="90" w:type="dxa"/>
              <w:end w:w="110" w:type="dxa"/>
            </w:tcMar>
          </w:tcPr>
          <w:p>
            <w:pPr>
              <w:spacing w:after="0"/>
            </w:pPr>
            <w:r>
              <w:t>Top layer</w:t>
            </w:r>
          </w:p>
        </w:tc>
        <w:tc>
          <w:tcPr>
            <w:tcW w:type="dxa" w:w="6120"/>
            <w:vAlign w:val="center"/>
            <w:tcMar>
              <w:top w:w="90" w:type="dxa"/>
              <w:start w:w="110" w:type="dxa"/>
              <w:bottom w:w="90" w:type="dxa"/>
              <w:end w:w="110" w:type="dxa"/>
            </w:tcMar>
          </w:tcPr>
          <w:p>
            <w:pPr>
              <w:spacing w:after="0"/>
            </w:pPr>
            <w:r>
              <w:t>PROVENIQ Foundation — stewarding the mission</w:t>
            </w:r>
          </w:p>
        </w:tc>
      </w:tr>
      <w:tr>
        <w:tc>
          <w:tcPr>
            <w:tcW w:type="dxa" w:w="2880"/>
            <w:vAlign w:val="center"/>
            <w:tcMar>
              <w:top w:w="90" w:type="dxa"/>
              <w:start w:w="110" w:type="dxa"/>
              <w:bottom w:w="90" w:type="dxa"/>
              <w:end w:w="110" w:type="dxa"/>
            </w:tcMar>
          </w:tcPr>
          <w:p>
            <w:pPr>
              <w:spacing w:after="0"/>
            </w:pPr>
            <w:r>
              <w:t>Second layer</w:t>
            </w:r>
          </w:p>
        </w:tc>
        <w:tc>
          <w:tcPr>
            <w:tcW w:type="dxa" w:w="6120"/>
            <w:vAlign w:val="center"/>
            <w:tcMar>
              <w:top w:w="90" w:type="dxa"/>
              <w:start w:w="110" w:type="dxa"/>
              <w:bottom w:w="90" w:type="dxa"/>
              <w:end w:w="110" w:type="dxa"/>
            </w:tcMar>
          </w:tcPr>
          <w:p>
            <w:pPr>
              <w:spacing w:after="0"/>
            </w:pPr>
            <w:r>
              <w:t>PROVENIQ System — the connected infrastructure</w:t>
            </w:r>
          </w:p>
        </w:tc>
      </w:tr>
      <w:tr>
        <w:tc>
          <w:tcPr>
            <w:tcW w:type="dxa" w:w="2880"/>
            <w:vAlign w:val="center"/>
            <w:tcMar>
              <w:top w:w="90" w:type="dxa"/>
              <w:start w:w="110" w:type="dxa"/>
              <w:bottom w:w="90" w:type="dxa"/>
              <w:end w:w="110" w:type="dxa"/>
            </w:tcMar>
          </w:tcPr>
          <w:p>
            <w:pPr>
              <w:spacing w:after="0"/>
            </w:pPr>
            <w:r>
              <w:t>System modules</w:t>
            </w:r>
          </w:p>
        </w:tc>
        <w:tc>
          <w:tcPr>
            <w:tcW w:type="dxa" w:w="6120"/>
            <w:vAlign w:val="center"/>
            <w:tcMar>
              <w:top w:w="90" w:type="dxa"/>
              <w:start w:w="110" w:type="dxa"/>
              <w:bottom w:w="90" w:type="dxa"/>
              <w:end w:w="110" w:type="dxa"/>
            </w:tcMar>
          </w:tcPr>
          <w:p>
            <w:pPr>
              <w:spacing w:after="0"/>
            </w:pPr>
            <w:r>
              <w:t>Pet Command | Homeward Bound | Lifeline | Fix-It Forward</w:t>
            </w:r>
          </w:p>
        </w:tc>
      </w:tr>
      <w:tr>
        <w:tc>
          <w:tcPr>
            <w:tcW w:type="dxa" w:w="2880"/>
            <w:vAlign w:val="center"/>
            <w:tcMar>
              <w:top w:w="90" w:type="dxa"/>
              <w:start w:w="110" w:type="dxa"/>
              <w:bottom w:w="90" w:type="dxa"/>
              <w:end w:w="110" w:type="dxa"/>
            </w:tcMar>
          </w:tcPr>
          <w:p>
            <w:pPr>
              <w:spacing w:after="0"/>
            </w:pPr>
            <w:r>
              <w:t>Participation layer</w:t>
            </w:r>
          </w:p>
        </w:tc>
        <w:tc>
          <w:tcPr>
            <w:tcW w:type="dxa" w:w="6120"/>
            <w:vAlign w:val="center"/>
            <w:tcMar>
              <w:top w:w="90" w:type="dxa"/>
              <w:start w:w="110" w:type="dxa"/>
              <w:bottom w:w="90" w:type="dxa"/>
              <w:end w:w="110" w:type="dxa"/>
            </w:tcMar>
          </w:tcPr>
          <w:p>
            <w:pPr>
              <w:spacing w:after="0"/>
            </w:pPr>
            <w:r>
              <w:t>PAW Pact — the network for independent organizations</w:t>
            </w:r>
          </w:p>
        </w:tc>
      </w:tr>
      <w:tr>
        <w:tc>
          <w:tcPr>
            <w:tcW w:type="dxa" w:w="2880"/>
            <w:vAlign w:val="center"/>
            <w:tcMar>
              <w:top w:w="90" w:type="dxa"/>
              <w:start w:w="110" w:type="dxa"/>
              <w:bottom w:w="90" w:type="dxa"/>
              <w:end w:w="110" w:type="dxa"/>
            </w:tcMar>
          </w:tcPr>
          <w:p>
            <w:pPr>
              <w:spacing w:after="0"/>
            </w:pPr>
            <w:r>
              <w:t>Policy layer</w:t>
            </w:r>
          </w:p>
        </w:tc>
        <w:tc>
          <w:tcPr>
            <w:tcW w:type="dxa" w:w="6120"/>
            <w:vAlign w:val="center"/>
            <w:tcMar>
              <w:top w:w="90" w:type="dxa"/>
              <w:start w:w="110" w:type="dxa"/>
              <w:bottom w:w="90" w:type="dxa"/>
              <w:end w:w="110" w:type="dxa"/>
            </w:tcMar>
          </w:tcPr>
          <w:p>
            <w:pPr>
              <w:spacing w:after="0"/>
            </w:pPr>
            <w:r>
              <w:t>BARK Act — advancing accountability and structural reform</w:t>
            </w:r>
          </w:p>
        </w:tc>
      </w:tr>
    </w:tbl>
    <w:p/>
    <w:p>
      <w:pPr>
        <w:pStyle w:val="Heading1"/>
      </w:pPr>
      <w:r>
        <w:t>7. Site map addition</w:t>
      </w:r>
    </w:p>
    <w:tbl>
      <w:tblPr>
        <w:tblStyle w:val="TableGrid"/>
        <w:tblW w:type="auto" w:w="0"/>
        <w:jc w:val="center"/>
        <w:tblLayout w:type="fixed"/>
        <w:tblLook w:firstColumn="1" w:firstRow="1" w:lastColumn="0" w:lastRow="0" w:noHBand="0" w:noVBand="1" w:val="04A0"/>
      </w:tblPr>
      <w:tblGrid>
        <w:gridCol w:w="4968"/>
        <w:gridCol w:w="4968"/>
      </w:tblGrid>
      <w:tr>
        <w:trPr>
          <w:tblHeader w:val="true"/>
        </w:trPr>
        <w:tc>
          <w:tcPr>
            <w:tcW w:type="dxa" w:w="3024"/>
            <w:vAlign w:val="center"/>
            <w:tcMar>
              <w:top w:w="90" w:type="dxa"/>
              <w:start w:w="110" w:type="dxa"/>
              <w:bottom w:w="90" w:type="dxa"/>
              <w:end w:w="110" w:type="dxa"/>
            </w:tcMar>
            <w:shd w:fill="D9E8F5"/>
          </w:tcPr>
          <w:p>
            <w:pPr>
              <w:spacing w:after="0"/>
            </w:pPr>
            <w:r>
              <w:rPr>
                <w:b/>
              </w:rPr>
              <w:t>Page / block</w:t>
            </w:r>
          </w:p>
        </w:tc>
        <w:tc>
          <w:tcPr>
            <w:tcW w:type="dxa" w:w="5976"/>
            <w:vAlign w:val="center"/>
            <w:tcMar>
              <w:top w:w="90" w:type="dxa"/>
              <w:start w:w="110" w:type="dxa"/>
              <w:bottom w:w="90" w:type="dxa"/>
              <w:end w:w="110" w:type="dxa"/>
            </w:tcMar>
            <w:shd w:fill="D9E8F5"/>
          </w:tcPr>
          <w:p>
            <w:pPr>
              <w:spacing w:after="0"/>
            </w:pPr>
            <w:r>
              <w:rPr>
                <w:b/>
              </w:rPr>
              <w:t>Purpose</w:t>
            </w:r>
          </w:p>
        </w:tc>
      </w:tr>
      <w:tr>
        <w:tc>
          <w:tcPr>
            <w:tcW w:type="dxa" w:w="3024"/>
            <w:vAlign w:val="center"/>
            <w:tcMar>
              <w:top w:w="90" w:type="dxa"/>
              <w:start w:w="110" w:type="dxa"/>
              <w:bottom w:w="90" w:type="dxa"/>
              <w:end w:w="110" w:type="dxa"/>
            </w:tcMar>
          </w:tcPr>
          <w:p>
            <w:pPr>
              <w:spacing w:after="0"/>
            </w:pPr>
            <w:r>
              <w:t>PAW Pact landing page</w:t>
            </w:r>
          </w:p>
        </w:tc>
        <w:tc>
          <w:tcPr>
            <w:tcW w:type="dxa" w:w="5976"/>
            <w:vAlign w:val="center"/>
            <w:tcMar>
              <w:top w:w="90" w:type="dxa"/>
              <w:start w:w="110" w:type="dxa"/>
              <w:bottom w:w="90" w:type="dxa"/>
              <w:end w:w="110" w:type="dxa"/>
            </w:tcMar>
          </w:tcPr>
          <w:p>
            <w:pPr>
              <w:spacing w:after="0"/>
            </w:pPr>
            <w:r>
              <w:t>Public explanation of the coalition and how it fits the broader PROVENIQ architecture.</w:t>
            </w:r>
          </w:p>
        </w:tc>
      </w:tr>
      <w:tr>
        <w:tc>
          <w:tcPr>
            <w:tcW w:type="dxa" w:w="3024"/>
            <w:vAlign w:val="center"/>
            <w:tcMar>
              <w:top w:w="90" w:type="dxa"/>
              <w:start w:w="110" w:type="dxa"/>
              <w:bottom w:w="90" w:type="dxa"/>
              <w:end w:w="110" w:type="dxa"/>
            </w:tcMar>
          </w:tcPr>
          <w:p>
            <w:pPr>
              <w:spacing w:after="0"/>
            </w:pPr>
            <w:r>
              <w:t>How It Works block</w:t>
            </w:r>
          </w:p>
        </w:tc>
        <w:tc>
          <w:tcPr>
            <w:tcW w:type="dxa" w:w="5976"/>
            <w:vAlign w:val="center"/>
            <w:tcMar>
              <w:top w:w="90" w:type="dxa"/>
              <w:start w:w="110" w:type="dxa"/>
              <w:bottom w:w="90" w:type="dxa"/>
              <w:end w:w="110" w:type="dxa"/>
            </w:tcMar>
          </w:tcPr>
          <w:p>
            <w:pPr>
              <w:spacing w:after="0"/>
            </w:pPr>
            <w:r>
              <w:t>Explains the relationship between Foundation, System, Pact, and BARK Act.</w:t>
            </w:r>
          </w:p>
        </w:tc>
      </w:tr>
      <w:tr>
        <w:tc>
          <w:tcPr>
            <w:tcW w:type="dxa" w:w="3024"/>
            <w:vAlign w:val="center"/>
            <w:tcMar>
              <w:top w:w="90" w:type="dxa"/>
              <w:start w:w="110" w:type="dxa"/>
              <w:bottom w:w="90" w:type="dxa"/>
              <w:end w:w="110" w:type="dxa"/>
            </w:tcMar>
          </w:tcPr>
          <w:p>
            <w:pPr>
              <w:spacing w:after="0"/>
            </w:pPr>
            <w:r>
              <w:t>Guardrails block</w:t>
            </w:r>
          </w:p>
        </w:tc>
        <w:tc>
          <w:tcPr>
            <w:tcW w:type="dxa" w:w="5976"/>
            <w:vAlign w:val="center"/>
            <w:tcMar>
              <w:top w:w="90" w:type="dxa"/>
              <w:start w:w="110" w:type="dxa"/>
              <w:bottom w:w="90" w:type="dxa"/>
              <w:end w:w="110" w:type="dxa"/>
            </w:tcMar>
          </w:tcPr>
          <w:p>
            <w:pPr>
              <w:spacing w:after="0"/>
            </w:pPr>
            <w:r>
              <w:t>States limits, expectations, and non-merger nature clearly.</w:t>
            </w:r>
          </w:p>
        </w:tc>
      </w:tr>
      <w:tr>
        <w:tc>
          <w:tcPr>
            <w:tcW w:type="dxa" w:w="3024"/>
            <w:vAlign w:val="center"/>
            <w:tcMar>
              <w:top w:w="90" w:type="dxa"/>
              <w:start w:w="110" w:type="dxa"/>
              <w:bottom w:w="90" w:type="dxa"/>
              <w:end w:w="110" w:type="dxa"/>
            </w:tcMar>
          </w:tcPr>
          <w:p>
            <w:pPr>
              <w:spacing w:after="0"/>
            </w:pPr>
            <w:r>
              <w:t>Membership interest form</w:t>
            </w:r>
          </w:p>
        </w:tc>
        <w:tc>
          <w:tcPr>
            <w:tcW w:type="dxa" w:w="5976"/>
            <w:vAlign w:val="center"/>
            <w:tcMar>
              <w:top w:w="90" w:type="dxa"/>
              <w:start w:w="110" w:type="dxa"/>
              <w:bottom w:w="90" w:type="dxa"/>
              <w:end w:w="110" w:type="dxa"/>
            </w:tcMar>
          </w:tcPr>
          <w:p>
            <w:pPr>
              <w:spacing w:after="0"/>
            </w:pPr>
            <w:r>
              <w:t>Captures organizations requesting a conversation or exploratory review.</w:t>
            </w:r>
          </w:p>
        </w:tc>
      </w:tr>
      <w:tr>
        <w:tc>
          <w:tcPr>
            <w:tcW w:type="dxa" w:w="3024"/>
            <w:vAlign w:val="center"/>
            <w:tcMar>
              <w:top w:w="90" w:type="dxa"/>
              <w:start w:w="110" w:type="dxa"/>
              <w:bottom w:w="90" w:type="dxa"/>
              <w:end w:w="110" w:type="dxa"/>
            </w:tcMar>
          </w:tcPr>
          <w:p>
            <w:pPr>
              <w:spacing w:after="0"/>
            </w:pPr>
            <w:r>
              <w:t>Downloads block</w:t>
            </w:r>
          </w:p>
        </w:tc>
        <w:tc>
          <w:tcPr>
            <w:tcW w:type="dxa" w:w="5976"/>
            <w:vAlign w:val="center"/>
            <w:tcMar>
              <w:top w:w="90" w:type="dxa"/>
              <w:start w:w="110" w:type="dxa"/>
              <w:bottom w:w="90" w:type="dxa"/>
              <w:end w:w="110" w:type="dxa"/>
            </w:tcMar>
          </w:tcPr>
          <w:p>
            <w:pPr>
              <w:spacing w:after="0"/>
            </w:pPr>
            <w:r>
              <w:t>Hosts the public summary and formal pact agreement.</w:t>
            </w:r>
          </w:p>
        </w:tc>
      </w:tr>
    </w:tbl>
    <w:p/>
    <w:p>
      <w:pPr>
        <w:pStyle w:val="Heading1"/>
      </w:pPr>
      <w:r>
        <w:t>8. Founder note for internal use</w:t>
      </w:r>
    </w:p>
    <w:tbl>
      <w:tblPr>
        <w:tblW w:type="auto" w:w="0"/>
        <w:jc w:val="center"/>
        <w:tblLayout w:type="fixed"/>
        <w:tblLook w:firstColumn="1" w:firstRow="1" w:lastColumn="0" w:lastRow="0" w:noHBand="0" w:noVBand="1" w:val="04A0"/>
      </w:tblPr>
      <w:tblGrid>
        <w:gridCol w:w="9936"/>
      </w:tblGrid>
      <w:tr>
        <w:tc>
          <w:tcPr>
            <w:tcW w:type="dxa" w:w="9072"/>
            <w:shd w:fill="F7F9FC"/>
            <w:tcMar>
              <w:top w:w="150" w:type="dxa"/>
              <w:start w:w="150" w:type="dxa"/>
              <w:bottom w:w="150" w:type="dxa"/>
              <w:end w:w="150" w:type="dxa"/>
            </w:tcMar>
          </w:tcPr>
          <w:p>
            <w:r>
              <w:rPr>
                <w:b/>
                <w:color w:val="1F4E79"/>
              </w:rPr>
              <w:t>Positioning discipline</w:t>
            </w:r>
            <w:r>
              <w:br/>
              <w:t>Do not present PAW Pact as just another product. It is the coalition wrapper around the PROVENIQ System. The Foundation leads; the System enables; the Pact connects; the BARK Act reinforces.</w:t>
            </w:r>
          </w:p>
        </w:tc>
      </w:tr>
    </w:tbl>
    <w:p/>
    <w:sectPr w:rsidR="00FC693F" w:rsidRPr="0006063C" w:rsidSect="00034616">
      <w:footerReference w:type="default" r:id="rId9"/>
      <w:pgSz w:w="12240" w:h="15840"/>
      <w:pgMar w:top="1008"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6E6E6E"/>
        <w:sz w:val="16"/>
      </w:rPr>
      <w:t>PAW Pact Public Summary and Windsurf Brief | PROVENIQ Foundation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2F2F2F"/>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Gray">
    <w:name w:val="Small Gray"/>
    <w:pPr>
      <w:spacing w:after="120"/>
    </w:pPr>
    <w:rPr>
      <w:rFonts w:ascii="Aptos" w:hAnsi="Aptos"/>
      <w:color w:val="5A5A5A"/>
      <w:sz w:val="18"/>
    </w:rPr>
  </w:style>
  <w:style w:type="paragraph" w:customStyle="1" w:styleId="Callout">
    <w:name w:val="Callout"/>
    <w:pPr>
      <w:spacing w:after="120"/>
    </w:pPr>
    <w:rPr>
      <w:rFonts w:ascii="Aptos" w:hAnsi="Aptos"/>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